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spacing w:line="600" w:lineRule="exact"/>
        <w:jc w:val="center"/>
        <w:outlineLvl w:val="0"/>
        <w:rPr>
          <w:rFonts w:ascii="宋体" w:hAnsi="宋体"/>
          <w:b/>
          <w:bCs/>
          <w:spacing w:val="-20"/>
          <w:kern w:val="44"/>
          <w:sz w:val="44"/>
          <w:szCs w:val="44"/>
        </w:rPr>
      </w:pPr>
      <w:r>
        <w:rPr>
          <w:rFonts w:hint="eastAsia" w:ascii="宋体" w:hAnsi="宋体"/>
          <w:b/>
          <w:bCs/>
          <w:spacing w:val="-20"/>
          <w:kern w:val="44"/>
          <w:sz w:val="44"/>
          <w:szCs w:val="44"/>
        </w:rPr>
        <w:t>湖南省生态环境保护督察</w:t>
      </w:r>
      <w:r>
        <w:rPr>
          <w:rFonts w:ascii="宋体" w:hAnsi="宋体"/>
          <w:b/>
          <w:bCs/>
          <w:spacing w:val="-20"/>
          <w:kern w:val="44"/>
          <w:sz w:val="44"/>
          <w:szCs w:val="44"/>
        </w:rPr>
        <w:t>“回头看”向永州市转办群众信访举报件边督边改情况公开</w:t>
      </w:r>
    </w:p>
    <w:p>
      <w:pPr>
        <w:spacing w:line="600" w:lineRule="exact"/>
        <w:jc w:val="right"/>
        <w:rPr>
          <w:rFonts w:ascii="Times New Roman" w:hAnsi="Times New Roman" w:eastAsia="仿宋_GB2312"/>
          <w:sz w:val="28"/>
          <w:szCs w:val="28"/>
        </w:rPr>
      </w:pPr>
      <w:r>
        <w:rPr>
          <w:rFonts w:ascii="Times New Roman" w:hAnsi="Times New Roman" w:eastAsia="仿宋_GB2312"/>
          <w:sz w:val="28"/>
          <w:szCs w:val="28"/>
        </w:rPr>
        <w:t>（第</w:t>
      </w:r>
      <w:r>
        <w:rPr>
          <w:rFonts w:hint="eastAsia" w:ascii="Times New Roman" w:hAnsi="Times New Roman" w:eastAsia="仿宋_GB2312"/>
          <w:sz w:val="28"/>
          <w:szCs w:val="28"/>
        </w:rPr>
        <w:t>十</w:t>
      </w:r>
      <w:r>
        <w:rPr>
          <w:rFonts w:hint="eastAsia" w:ascii="Times New Roman" w:hAnsi="Times New Roman" w:eastAsia="仿宋_GB2312"/>
          <w:sz w:val="28"/>
          <w:szCs w:val="28"/>
          <w:lang w:eastAsia="zh-CN"/>
        </w:rPr>
        <w:t>六</w:t>
      </w:r>
      <w:r>
        <w:rPr>
          <w:rFonts w:ascii="Times New Roman" w:hAnsi="Times New Roman" w:eastAsia="仿宋_GB2312"/>
          <w:sz w:val="28"/>
          <w:szCs w:val="28"/>
        </w:rPr>
        <w:t>批    20</w:t>
      </w:r>
      <w:r>
        <w:rPr>
          <w:rFonts w:hint="eastAsia" w:ascii="Times New Roman" w:hAnsi="Times New Roman" w:eastAsia="仿宋_GB2312"/>
          <w:sz w:val="28"/>
          <w:szCs w:val="28"/>
        </w:rPr>
        <w:t>20</w:t>
      </w:r>
      <w:r>
        <w:rPr>
          <w:rFonts w:ascii="Times New Roman" w:hAnsi="Times New Roman" w:eastAsia="仿宋_GB2312"/>
          <w:sz w:val="28"/>
          <w:szCs w:val="28"/>
        </w:rPr>
        <w:t>年</w:t>
      </w:r>
      <w:r>
        <w:rPr>
          <w:rFonts w:hint="eastAsia" w:ascii="Times New Roman" w:hAnsi="Times New Roman" w:eastAsia="仿宋_GB2312"/>
          <w:sz w:val="28"/>
          <w:szCs w:val="28"/>
          <w:u w:val="single"/>
        </w:rPr>
        <w:t>11</w:t>
      </w:r>
      <w:r>
        <w:rPr>
          <w:rFonts w:ascii="Times New Roman" w:hAnsi="Times New Roman" w:eastAsia="仿宋_GB2312"/>
          <w:sz w:val="28"/>
          <w:szCs w:val="28"/>
        </w:rPr>
        <w:t>月</w:t>
      </w:r>
      <w:r>
        <w:rPr>
          <w:rFonts w:hint="eastAsia" w:ascii="Times New Roman" w:hAnsi="Times New Roman" w:eastAsia="仿宋_GB2312"/>
          <w:sz w:val="28"/>
          <w:szCs w:val="28"/>
          <w:u w:val="single"/>
          <w:lang w:val="en-US" w:eastAsia="zh-CN"/>
        </w:rPr>
        <w:t>11</w:t>
      </w:r>
      <w:r>
        <w:rPr>
          <w:rFonts w:ascii="Times New Roman" w:hAnsi="Times New Roman" w:eastAsia="仿宋_GB2312"/>
          <w:sz w:val="28"/>
          <w:szCs w:val="28"/>
        </w:rPr>
        <w:t>日</w:t>
      </w:r>
      <w:r>
        <w:rPr>
          <w:rFonts w:hint="eastAsia" w:ascii="Times New Roman" w:hAnsi="Times New Roman" w:eastAsia="仿宋_GB2312"/>
          <w:sz w:val="28"/>
          <w:szCs w:val="28"/>
        </w:rPr>
        <w:t>交办</w:t>
      </w:r>
      <w:r>
        <w:rPr>
          <w:rFonts w:ascii="Times New Roman" w:hAnsi="Times New Roman" w:eastAsia="仿宋_GB2312"/>
          <w:sz w:val="28"/>
          <w:szCs w:val="28"/>
        </w:rPr>
        <w:t>）</w:t>
      </w: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第十</w:t>
      </w:r>
      <w:r>
        <w:rPr>
          <w:rFonts w:hint="eastAsia" w:asciiTheme="minorEastAsia" w:hAnsiTheme="minorEastAsia" w:eastAsiaTheme="minorEastAsia" w:cstheme="minorEastAsia"/>
          <w:sz w:val="28"/>
          <w:szCs w:val="28"/>
          <w:lang w:eastAsia="zh-CN"/>
        </w:rPr>
        <w:t>六</w:t>
      </w:r>
      <w:r>
        <w:rPr>
          <w:rFonts w:hint="eastAsia" w:asciiTheme="minorEastAsia" w:hAnsiTheme="minorEastAsia" w:eastAsiaTheme="minorEastAsia" w:cstheme="minorEastAsia"/>
          <w:sz w:val="28"/>
          <w:szCs w:val="28"/>
        </w:rPr>
        <w:t>批转办我市信访件</w:t>
      </w:r>
      <w:r>
        <w:rPr>
          <w:rFonts w:hint="eastAsia" w:asciiTheme="minorEastAsia" w:hAnsiTheme="minorEastAsia" w:eastAsiaTheme="minorEastAsia" w:cstheme="minorEastAsia"/>
          <w:sz w:val="28"/>
          <w:szCs w:val="28"/>
          <w:lang w:val="en-US" w:eastAsia="zh-CN"/>
        </w:rPr>
        <w:t>1</w:t>
      </w:r>
      <w:r>
        <w:rPr>
          <w:rFonts w:hint="eastAsia" w:asciiTheme="minorEastAsia" w:hAnsiTheme="minorEastAsia" w:eastAsiaTheme="minorEastAsia" w:cstheme="minorEastAsia"/>
          <w:sz w:val="28"/>
          <w:szCs w:val="28"/>
        </w:rPr>
        <w:t>件，调查核实、处理和整改情况如下：</w:t>
      </w:r>
    </w:p>
    <w:p>
      <w:pPr>
        <w:spacing w:line="600" w:lineRule="exact"/>
        <w:jc w:val="left"/>
        <w:rPr>
          <w:rFonts w:ascii="Times New Roman" w:hAnsi="Times New Roman" w:eastAsia="仿宋_GB2312"/>
          <w:sz w:val="28"/>
          <w:szCs w:val="28"/>
        </w:rPr>
      </w:pPr>
    </w:p>
    <w:tbl>
      <w:tblPr>
        <w:tblStyle w:val="5"/>
        <w:tblW w:w="1524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77"/>
        <w:gridCol w:w="1125"/>
        <w:gridCol w:w="2055"/>
        <w:gridCol w:w="1125"/>
        <w:gridCol w:w="1110"/>
        <w:gridCol w:w="4350"/>
        <w:gridCol w:w="765"/>
        <w:gridCol w:w="2895"/>
        <w:gridCol w:w="124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577" w:type="dxa"/>
            <w:shd w:val="clear" w:color="auto" w:fill="auto"/>
            <w:vAlign w:val="center"/>
          </w:tcPr>
          <w:p>
            <w:pPr>
              <w:spacing w:line="400" w:lineRule="exact"/>
              <w:jc w:val="center"/>
              <w:rPr>
                <w:rFonts w:ascii="宋体" w:hAnsi="宋体"/>
                <w:b/>
                <w:szCs w:val="21"/>
              </w:rPr>
            </w:pPr>
            <w:r>
              <w:rPr>
                <w:rFonts w:ascii="宋体" w:hAnsi="宋体"/>
                <w:b/>
                <w:szCs w:val="21"/>
              </w:rPr>
              <w:t>序号</w:t>
            </w:r>
          </w:p>
        </w:tc>
        <w:tc>
          <w:tcPr>
            <w:tcW w:w="1125" w:type="dxa"/>
            <w:shd w:val="clear" w:color="auto" w:fill="auto"/>
            <w:vAlign w:val="center"/>
          </w:tcPr>
          <w:p>
            <w:pPr>
              <w:spacing w:line="400" w:lineRule="exact"/>
              <w:jc w:val="center"/>
              <w:rPr>
                <w:rFonts w:ascii="宋体" w:hAnsi="宋体"/>
                <w:b/>
                <w:szCs w:val="21"/>
              </w:rPr>
            </w:pPr>
            <w:r>
              <w:rPr>
                <w:rFonts w:ascii="宋体" w:hAnsi="宋体"/>
                <w:b/>
                <w:szCs w:val="21"/>
              </w:rPr>
              <w:t>受理编号</w:t>
            </w:r>
          </w:p>
        </w:tc>
        <w:tc>
          <w:tcPr>
            <w:tcW w:w="2055" w:type="dxa"/>
            <w:shd w:val="clear" w:color="auto" w:fill="auto"/>
            <w:vAlign w:val="center"/>
          </w:tcPr>
          <w:p>
            <w:pPr>
              <w:spacing w:line="400" w:lineRule="exact"/>
              <w:jc w:val="center"/>
              <w:rPr>
                <w:rFonts w:ascii="宋体" w:hAnsi="宋体"/>
                <w:b/>
                <w:szCs w:val="21"/>
              </w:rPr>
            </w:pPr>
            <w:r>
              <w:rPr>
                <w:rFonts w:ascii="宋体" w:hAnsi="宋体"/>
                <w:b/>
                <w:szCs w:val="21"/>
              </w:rPr>
              <w:t>交办问题基本情况</w:t>
            </w:r>
          </w:p>
        </w:tc>
        <w:tc>
          <w:tcPr>
            <w:tcW w:w="1125" w:type="dxa"/>
            <w:shd w:val="clear" w:color="auto" w:fill="auto"/>
            <w:vAlign w:val="center"/>
          </w:tcPr>
          <w:p>
            <w:pPr>
              <w:spacing w:line="400" w:lineRule="exact"/>
              <w:jc w:val="center"/>
              <w:rPr>
                <w:rFonts w:ascii="宋体" w:hAnsi="宋体"/>
                <w:b/>
                <w:szCs w:val="21"/>
              </w:rPr>
            </w:pPr>
            <w:r>
              <w:rPr>
                <w:rFonts w:ascii="宋体" w:hAnsi="宋体"/>
                <w:b/>
                <w:szCs w:val="21"/>
              </w:rPr>
              <w:t>行政区域</w:t>
            </w:r>
          </w:p>
        </w:tc>
        <w:tc>
          <w:tcPr>
            <w:tcW w:w="1110" w:type="dxa"/>
            <w:shd w:val="clear" w:color="auto" w:fill="auto"/>
            <w:vAlign w:val="center"/>
          </w:tcPr>
          <w:p>
            <w:pPr>
              <w:spacing w:line="400" w:lineRule="exact"/>
              <w:jc w:val="center"/>
              <w:rPr>
                <w:rFonts w:ascii="宋体" w:hAnsi="宋体"/>
                <w:b/>
                <w:szCs w:val="21"/>
              </w:rPr>
            </w:pPr>
            <w:r>
              <w:rPr>
                <w:rFonts w:ascii="宋体" w:hAnsi="宋体"/>
                <w:b/>
                <w:szCs w:val="21"/>
              </w:rPr>
              <w:t>污染类型</w:t>
            </w:r>
          </w:p>
        </w:tc>
        <w:tc>
          <w:tcPr>
            <w:tcW w:w="4350" w:type="dxa"/>
            <w:shd w:val="clear" w:color="auto" w:fill="auto"/>
            <w:vAlign w:val="center"/>
          </w:tcPr>
          <w:p>
            <w:pPr>
              <w:spacing w:line="400" w:lineRule="exact"/>
              <w:jc w:val="center"/>
              <w:rPr>
                <w:rFonts w:ascii="宋体" w:hAnsi="宋体"/>
                <w:b/>
                <w:szCs w:val="21"/>
              </w:rPr>
            </w:pPr>
            <w:r>
              <w:rPr>
                <w:rFonts w:ascii="宋体" w:hAnsi="宋体"/>
                <w:b/>
                <w:szCs w:val="21"/>
              </w:rPr>
              <w:t>调查核实情况</w:t>
            </w:r>
          </w:p>
        </w:tc>
        <w:tc>
          <w:tcPr>
            <w:tcW w:w="765" w:type="dxa"/>
            <w:shd w:val="clear" w:color="auto" w:fill="auto"/>
            <w:vAlign w:val="center"/>
          </w:tcPr>
          <w:p>
            <w:pPr>
              <w:spacing w:line="400" w:lineRule="exact"/>
              <w:jc w:val="center"/>
              <w:rPr>
                <w:rFonts w:ascii="宋体" w:hAnsi="宋体"/>
                <w:b/>
                <w:szCs w:val="21"/>
              </w:rPr>
            </w:pPr>
            <w:r>
              <w:rPr>
                <w:rFonts w:ascii="宋体" w:hAnsi="宋体"/>
                <w:b/>
                <w:szCs w:val="21"/>
              </w:rPr>
              <w:t>是否属实</w:t>
            </w:r>
          </w:p>
        </w:tc>
        <w:tc>
          <w:tcPr>
            <w:tcW w:w="2895" w:type="dxa"/>
            <w:shd w:val="clear" w:color="auto" w:fill="auto"/>
            <w:vAlign w:val="center"/>
          </w:tcPr>
          <w:p>
            <w:pPr>
              <w:spacing w:line="400" w:lineRule="exact"/>
              <w:jc w:val="center"/>
              <w:rPr>
                <w:rFonts w:ascii="宋体" w:hAnsi="宋体"/>
                <w:b/>
                <w:szCs w:val="21"/>
              </w:rPr>
            </w:pPr>
            <w:r>
              <w:rPr>
                <w:rFonts w:ascii="宋体" w:hAnsi="宋体"/>
                <w:b/>
                <w:szCs w:val="21"/>
              </w:rPr>
              <w:t>处理和整改情况</w:t>
            </w:r>
          </w:p>
        </w:tc>
        <w:tc>
          <w:tcPr>
            <w:tcW w:w="1241" w:type="dxa"/>
            <w:shd w:val="clear" w:color="auto" w:fill="auto"/>
            <w:vAlign w:val="center"/>
          </w:tcPr>
          <w:p>
            <w:pPr>
              <w:spacing w:line="400" w:lineRule="exact"/>
              <w:jc w:val="center"/>
              <w:rPr>
                <w:rFonts w:ascii="宋体" w:hAnsi="宋体"/>
                <w:b/>
                <w:szCs w:val="21"/>
              </w:rPr>
            </w:pPr>
            <w:r>
              <w:rPr>
                <w:rFonts w:ascii="宋体" w:hAnsi="宋体"/>
                <w:b/>
                <w:szCs w:val="21"/>
              </w:rPr>
              <w:t>责任人被处理情况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90" w:hRule="atLeast"/>
          <w:jc w:val="center"/>
        </w:trPr>
        <w:tc>
          <w:tcPr>
            <w:tcW w:w="577" w:type="dxa"/>
            <w:shd w:val="clear" w:color="auto" w:fill="auto"/>
            <w:vAlign w:val="center"/>
          </w:tcPr>
          <w:p>
            <w:pPr>
              <w:spacing w:line="400" w:lineRule="exact"/>
              <w:jc w:val="center"/>
              <w:rPr>
                <w:rFonts w:ascii="仿宋" w:hAnsi="仿宋" w:eastAsia="仿宋" w:cstheme="minorEastAsia"/>
                <w:sz w:val="20"/>
                <w:szCs w:val="20"/>
              </w:rPr>
            </w:pPr>
            <w:r>
              <w:rPr>
                <w:rFonts w:hint="eastAsia" w:ascii="仿宋" w:hAnsi="仿宋" w:eastAsia="仿宋" w:cstheme="minorEastAsia"/>
                <w:sz w:val="20"/>
                <w:szCs w:val="20"/>
              </w:rPr>
              <w:t>1</w:t>
            </w:r>
          </w:p>
        </w:tc>
        <w:tc>
          <w:tcPr>
            <w:tcW w:w="1125" w:type="dxa"/>
            <w:shd w:val="clear" w:color="auto" w:fill="auto"/>
            <w:vAlign w:val="center"/>
          </w:tcPr>
          <w:p>
            <w:pPr>
              <w:spacing w:line="400" w:lineRule="exact"/>
              <w:jc w:val="center"/>
              <w:rPr>
                <w:rFonts w:hint="eastAsia" w:ascii="仿宋" w:hAnsi="仿宋" w:eastAsia="仿宋" w:cs="仿宋"/>
                <w:color w:val="333333"/>
                <w:sz w:val="20"/>
                <w:szCs w:val="20"/>
              </w:rPr>
            </w:pPr>
            <w:r>
              <w:rPr>
                <w:rFonts w:hint="eastAsia" w:ascii="仿宋" w:hAnsi="仿宋" w:eastAsia="仿宋" w:cs="仿宋"/>
                <w:kern w:val="0"/>
                <w:sz w:val="20"/>
                <w:szCs w:val="20"/>
                <w:lang w:val="en-US" w:eastAsia="zh-CN" w:bidi="ar-SA"/>
              </w:rPr>
              <w:t>X1YZ202000029</w:t>
            </w:r>
          </w:p>
        </w:tc>
        <w:tc>
          <w:tcPr>
            <w:tcW w:w="205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hint="eastAsia" w:ascii="仿宋" w:hAnsi="仿宋" w:eastAsia="仿宋" w:cs="仿宋"/>
                <w:color w:val="333333"/>
                <w:sz w:val="20"/>
                <w:szCs w:val="20"/>
              </w:rPr>
            </w:pPr>
            <w:r>
              <w:rPr>
                <w:rFonts w:hint="eastAsia" w:ascii="仿宋" w:hAnsi="仿宋" w:eastAsia="仿宋" w:cs="仿宋"/>
                <w:sz w:val="20"/>
                <w:szCs w:val="20"/>
                <w:lang w:val="en-US" w:eastAsia="zh-CN"/>
              </w:rPr>
              <w:t>来信举报祁阳众鑫矿业高岭土：1.露天开采没有真正的实行雨污分流，现在的雨污分流纯属应付上级检查和验收，只要下雨或者雨季该开采场的泥沙污水直排入山体和马路上，造成水土流失，生态破坏等环境污染。天晴时马路上都是灰尘；2.开采山体没有实行真正的排水沟渠和雨水排放通道，造成下雨或者雨季山体滑坡和泥石流等安全事故；3.没有环境事故废水收集池，没有环境风险专项评价和环境风险事故措施，造成污水收集不充分和环境事故隐患；4.弃渣弃土坝场不规范（没有真正的雨污分流措施和堆土薄膜防水防雨措施，造成水土流失和生态破坏）。</w:t>
            </w:r>
          </w:p>
        </w:tc>
        <w:tc>
          <w:tcPr>
            <w:tcW w:w="112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333333"/>
                <w:sz w:val="20"/>
                <w:szCs w:val="20"/>
              </w:rPr>
            </w:pPr>
            <w:r>
              <w:rPr>
                <w:rFonts w:hint="eastAsia" w:ascii="仿宋" w:hAnsi="仿宋" w:eastAsia="仿宋" w:cs="仿宋"/>
                <w:kern w:val="0"/>
                <w:sz w:val="20"/>
                <w:szCs w:val="20"/>
                <w:lang w:val="en-US" w:eastAsia="zh-CN" w:bidi="ar-SA"/>
              </w:rPr>
              <w:t>金洞管理区</w:t>
            </w:r>
          </w:p>
        </w:tc>
        <w:tc>
          <w:tcPr>
            <w:tcW w:w="111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333333"/>
                <w:sz w:val="20"/>
                <w:szCs w:val="20"/>
              </w:rPr>
            </w:pPr>
            <w:r>
              <w:rPr>
                <w:rFonts w:hint="eastAsia" w:ascii="仿宋" w:hAnsi="仿宋" w:eastAsia="仿宋" w:cs="仿宋"/>
                <w:sz w:val="20"/>
                <w:szCs w:val="20"/>
                <w:lang w:val="en-US" w:eastAsia="zh-CN"/>
              </w:rPr>
              <w:t>水,大气,生态</w:t>
            </w:r>
          </w:p>
        </w:tc>
        <w:tc>
          <w:tcPr>
            <w:tcW w:w="435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0" w:lineRule="exact"/>
              <w:ind w:firstLine="200" w:firstLineChars="100"/>
              <w:textAlignment w:val="auto"/>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经调查核实，本次所反映的内容与11月7日收到的电话投诉件内容基本一致，属于重复投拆件。其信访件举报内容部分属实。管理区相关部门下达了整改通知书，企业制定了整改工作方案，立行立改，现在正在整改中，企业承诺在2020年11月30日前全部整改到位。具体情况如下：</w:t>
            </w:r>
          </w:p>
          <w:p>
            <w:pPr>
              <w:keepNext w:val="0"/>
              <w:keepLines w:val="0"/>
              <w:pageBreakBefore w:val="0"/>
              <w:widowControl w:val="0"/>
              <w:kinsoku/>
              <w:wordWrap/>
              <w:overflowPunct/>
              <w:topLinePunct w:val="0"/>
              <w:autoSpaceDE/>
              <w:autoSpaceDN/>
              <w:bidi w:val="0"/>
              <w:adjustRightInd/>
              <w:snapToGrid/>
              <w:spacing w:line="220" w:lineRule="exact"/>
              <w:ind w:firstLine="200" w:firstLineChars="100"/>
              <w:textAlignment w:val="auto"/>
              <w:rPr>
                <w:rFonts w:hint="eastAsia" w:ascii="仿宋" w:hAnsi="仿宋" w:eastAsia="仿宋" w:cs="仿宋"/>
                <w:color w:val="333333"/>
                <w:sz w:val="20"/>
                <w:szCs w:val="20"/>
              </w:rPr>
            </w:pPr>
            <w:r>
              <w:rPr>
                <w:rFonts w:hint="eastAsia" w:ascii="仿宋" w:hAnsi="仿宋" w:eastAsia="仿宋" w:cs="仿宋"/>
                <w:sz w:val="20"/>
                <w:szCs w:val="20"/>
                <w:lang w:val="en-US" w:eastAsia="zh-CN"/>
              </w:rPr>
              <w:t>今年由于受新冠肺炎疫情的影响，加之安全生产没有通过验收，上半年处于停产整顿的状况。直到9月份经验收通过才开始试生产，生产废水经沉淀后，循环利用，无外排。企业已按照国土资源厅认定的矿山地质环境影响评估报告附具的矿山地质环境保护方案，采取有效措施，防治矿山地质灾害，保护矿山地质环境，按照边开采边治理的要求，正在完善排水沟、截洪沟和集水沟，确保不造成水土流失。目前，企业已经建好了厂区污水收集池，正在建设环境事故废水收集应急池；委托湖南永卓科技有限公司编制了环境应急预案，正在组织专家评审，要求在2020年11月18日前制定好环境事故应急预案和环境灾害突发事件应急处置方案公示牌；委托湖南佳蓝检测技术有限公司开展自主验收，要求在2020年11月底全面完成。关于弃渣弃土坝场不规范（没有真正的雨污分流措施和堆土薄膜防水防雨措施，造成水土流失和生态破坏的问题。该问题反映部分属实，已要求企业在2020年11月30日前按矿山地质环境保护方案全部整改到位。</w:t>
            </w:r>
          </w:p>
        </w:tc>
        <w:tc>
          <w:tcPr>
            <w:tcW w:w="76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outlineLvl w:val="9"/>
              <w:rPr>
                <w:rFonts w:hint="eastAsia" w:ascii="仿宋" w:hAnsi="仿宋" w:eastAsia="仿宋" w:cs="仿宋"/>
                <w:color w:val="333333"/>
                <w:sz w:val="20"/>
                <w:szCs w:val="20"/>
              </w:rPr>
            </w:pPr>
            <w:r>
              <w:rPr>
                <w:rFonts w:hint="eastAsia" w:ascii="仿宋" w:hAnsi="仿宋" w:eastAsia="仿宋" w:cs="仿宋"/>
                <w:sz w:val="20"/>
                <w:szCs w:val="20"/>
                <w:lang w:val="en-US" w:eastAsia="zh-CN"/>
              </w:rPr>
              <w:t>属实</w:t>
            </w:r>
          </w:p>
        </w:tc>
        <w:tc>
          <w:tcPr>
            <w:tcW w:w="289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0" w:lineRule="exact"/>
              <w:ind w:firstLine="200" w:firstLineChars="100"/>
              <w:textAlignment w:val="auto"/>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11月11日，接交办件后，我区高度重视，区党委何德波书记亲自批示“速坚决、彻底按要求整改到位，尽早销号，消除影响。”区党委委员、常务副主任唐亚跟踪督办，区党委委员、管委会副主任张福生牵头，区国土资源局、区环保局、区水利局、区旅发集团各负其责，督促企业按要求、限期整改到位，否则，予以追责问责。</w:t>
            </w:r>
          </w:p>
          <w:p>
            <w:pPr>
              <w:keepNext w:val="0"/>
              <w:keepLines w:val="0"/>
              <w:pageBreakBefore w:val="0"/>
              <w:widowControl w:val="0"/>
              <w:kinsoku/>
              <w:wordWrap/>
              <w:overflowPunct/>
              <w:topLinePunct w:val="0"/>
              <w:autoSpaceDE/>
              <w:autoSpaceDN/>
              <w:bidi w:val="0"/>
              <w:adjustRightInd/>
              <w:snapToGrid/>
              <w:spacing w:line="240" w:lineRule="exact"/>
              <w:ind w:firstLine="200" w:firstLineChars="100"/>
              <w:jc w:val="left"/>
              <w:textAlignment w:val="auto"/>
              <w:rPr>
                <w:rFonts w:hint="eastAsia" w:ascii="仿宋" w:hAnsi="仿宋" w:eastAsia="仿宋" w:cs="仿宋"/>
                <w:color w:val="333333"/>
                <w:sz w:val="20"/>
                <w:szCs w:val="20"/>
              </w:rPr>
            </w:pPr>
          </w:p>
        </w:tc>
        <w:tc>
          <w:tcPr>
            <w:tcW w:w="1241"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outlineLvl w:val="9"/>
              <w:rPr>
                <w:rFonts w:hint="eastAsia" w:ascii="仿宋" w:hAnsi="仿宋" w:eastAsia="仿宋" w:cs="仿宋"/>
                <w:color w:val="333333"/>
                <w:sz w:val="20"/>
                <w:szCs w:val="20"/>
              </w:rPr>
            </w:pPr>
            <w:r>
              <w:rPr>
                <w:rFonts w:hint="eastAsia" w:ascii="仿宋" w:hAnsi="仿宋" w:eastAsia="仿宋" w:cs="仿宋"/>
                <w:sz w:val="20"/>
                <w:szCs w:val="20"/>
                <w:lang w:eastAsia="zh-CN"/>
              </w:rPr>
              <w:t>无</w:t>
            </w:r>
          </w:p>
        </w:tc>
      </w:tr>
    </w:tbl>
    <w:p/>
    <w:p/>
    <w:p>
      <w:bookmarkStart w:id="0" w:name="_GoBack"/>
      <w:bookmarkEnd w:id="0"/>
    </w:p>
    <w:sectPr>
      <w:pgSz w:w="16838" w:h="11906" w:orient="landscape"/>
      <w:pgMar w:top="1803" w:right="1440" w:bottom="1803" w:left="1440" w:header="851" w:footer="992" w:gutter="0"/>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9"/>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C20F7F"/>
    <w:rsid w:val="0010217E"/>
    <w:rsid w:val="00114FB3"/>
    <w:rsid w:val="00232BB6"/>
    <w:rsid w:val="002F7E27"/>
    <w:rsid w:val="003B40E6"/>
    <w:rsid w:val="00907A8E"/>
    <w:rsid w:val="009C6A22"/>
    <w:rsid w:val="00A37D19"/>
    <w:rsid w:val="00B00F32"/>
    <w:rsid w:val="00BB7556"/>
    <w:rsid w:val="00C20F7F"/>
    <w:rsid w:val="00C75F1B"/>
    <w:rsid w:val="00DC7648"/>
    <w:rsid w:val="00E36392"/>
    <w:rsid w:val="00FD46AE"/>
    <w:rsid w:val="107D034D"/>
    <w:rsid w:val="16C967F1"/>
    <w:rsid w:val="1EAA7C39"/>
    <w:rsid w:val="1FC346D8"/>
    <w:rsid w:val="204D1D17"/>
    <w:rsid w:val="25CD3C3C"/>
    <w:rsid w:val="283B3F58"/>
    <w:rsid w:val="4A1B6644"/>
    <w:rsid w:val="4ECA2B1C"/>
    <w:rsid w:val="51B703BD"/>
    <w:rsid w:val="5E806C57"/>
    <w:rsid w:val="697F7AFA"/>
    <w:rsid w:val="6A174C40"/>
    <w:rsid w:val="6B717E5F"/>
    <w:rsid w:val="7C6100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仿宋_GB2312" w:hAnsi="Times New Roman" w:cs="Times New Roman"/>
      <w:kern w:val="2"/>
      <w:sz w:val="30"/>
      <w:szCs w:val="24"/>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qFormat/>
    <w:uiPriority w:val="0"/>
  </w:style>
  <w:style w:type="character" w:customStyle="1" w:styleId="8">
    <w:name w:val="页眉 Char"/>
    <w:basedOn w:val="6"/>
    <w:link w:val="4"/>
    <w:qFormat/>
    <w:uiPriority w:val="0"/>
    <w:rPr>
      <w:rFonts w:ascii="Calibri" w:hAnsi="Calibri"/>
      <w:kern w:val="2"/>
      <w:sz w:val="18"/>
      <w:szCs w:val="18"/>
    </w:rPr>
  </w:style>
  <w:style w:type="character" w:customStyle="1" w:styleId="9">
    <w:name w:val="font01"/>
    <w:basedOn w:val="6"/>
    <w:qFormat/>
    <w:uiPriority w:val="0"/>
    <w:rPr>
      <w:rFonts w:hint="eastAsia" w:ascii="微软雅黑" w:hAnsi="微软雅黑" w:eastAsia="微软雅黑" w:cs="微软雅黑"/>
      <w:color w:val="333333"/>
      <w:sz w:val="21"/>
      <w:szCs w:val="21"/>
      <w:u w:val="none"/>
    </w:rPr>
  </w:style>
  <w:style w:type="character" w:customStyle="1" w:styleId="10">
    <w:name w:val="font31"/>
    <w:basedOn w:val="6"/>
    <w:qFormat/>
    <w:uiPriority w:val="0"/>
    <w:rPr>
      <w:rFonts w:hint="default" w:ascii="仿宋_GB2312" w:eastAsia="仿宋_GB2312" w:cs="仿宋_GB2312"/>
      <w:color w:val="000000"/>
      <w:sz w:val="18"/>
      <w:szCs w:val="18"/>
      <w:u w:val="none"/>
    </w:rPr>
  </w:style>
  <w:style w:type="character" w:customStyle="1" w:styleId="11">
    <w:name w:val="font61"/>
    <w:basedOn w:val="6"/>
    <w:qFormat/>
    <w:uiPriority w:val="0"/>
    <w:rPr>
      <w:rFonts w:hint="eastAsia" w:ascii="微软雅黑" w:hAnsi="微软雅黑" w:eastAsia="微软雅黑" w:cs="微软雅黑"/>
      <w:color w:val="000000"/>
      <w:sz w:val="16"/>
      <w:szCs w:val="16"/>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17</Pages>
  <Words>1744</Words>
  <Characters>9947</Characters>
  <Lines>82</Lines>
  <Paragraphs>23</Paragraphs>
  <TotalTime>0</TotalTime>
  <ScaleCrop>false</ScaleCrop>
  <LinksUpToDate>false</LinksUpToDate>
  <CharactersWithSpaces>11668</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2018-11-01T07:06:00Z</dcterms:created>
  <dc:creator>安 西</dc:creator>
  <cp:lastModifiedBy>Administrator</cp:lastModifiedBy>
  <dcterms:modified xsi:type="dcterms:W3CDTF">2020-11-13T08:08:57Z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