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600" w:lineRule="exact"/>
        <w:jc w:val="center"/>
        <w:outlineLvl w:val="0"/>
        <w:rPr>
          <w:rFonts w:ascii="宋体" w:hAnsi="宋体"/>
          <w:b/>
          <w:bCs/>
          <w:spacing w:val="-20"/>
          <w:kern w:val="44"/>
          <w:sz w:val="44"/>
          <w:szCs w:val="44"/>
        </w:rPr>
      </w:pPr>
      <w:r>
        <w:rPr>
          <w:rFonts w:hint="eastAsia" w:ascii="宋体" w:hAnsi="宋体"/>
          <w:b/>
          <w:bCs/>
          <w:spacing w:val="-20"/>
          <w:kern w:val="44"/>
          <w:sz w:val="44"/>
          <w:szCs w:val="44"/>
        </w:rPr>
        <w:t>湖南省生态环境保护督察</w:t>
      </w:r>
      <w:r>
        <w:rPr>
          <w:rFonts w:ascii="宋体" w:hAnsi="宋体"/>
          <w:b/>
          <w:bCs/>
          <w:spacing w:val="-20"/>
          <w:kern w:val="44"/>
          <w:sz w:val="44"/>
          <w:szCs w:val="44"/>
        </w:rPr>
        <w:t>“回头看”向永州市转办群众信访举报件边督边改情况公开</w:t>
      </w:r>
    </w:p>
    <w:p>
      <w:pPr>
        <w:spacing w:line="600" w:lineRule="exact"/>
        <w:jc w:val="right"/>
        <w:rPr>
          <w:rFonts w:ascii="Times New Roman" w:hAnsi="Times New Roman" w:eastAsia="仿宋_GB2312"/>
          <w:sz w:val="28"/>
          <w:szCs w:val="28"/>
        </w:rPr>
      </w:pPr>
      <w:r>
        <w:rPr>
          <w:rFonts w:ascii="Times New Roman" w:hAnsi="Times New Roman" w:eastAsia="仿宋_GB2312"/>
          <w:sz w:val="28"/>
          <w:szCs w:val="28"/>
        </w:rPr>
        <w:t>（第</w:t>
      </w:r>
      <w:r>
        <w:rPr>
          <w:rFonts w:hint="eastAsia" w:ascii="Times New Roman" w:hAnsi="Times New Roman" w:eastAsia="仿宋_GB2312"/>
          <w:sz w:val="28"/>
          <w:szCs w:val="28"/>
        </w:rPr>
        <w:t>十</w:t>
      </w:r>
      <w:r>
        <w:rPr>
          <w:rFonts w:hint="eastAsia" w:ascii="Times New Roman" w:hAnsi="Times New Roman" w:eastAsia="仿宋_GB2312"/>
          <w:sz w:val="28"/>
          <w:szCs w:val="28"/>
          <w:lang w:eastAsia="zh-CN"/>
        </w:rPr>
        <w:t>四</w:t>
      </w:r>
      <w:r>
        <w:rPr>
          <w:rFonts w:ascii="Times New Roman" w:hAnsi="Times New Roman" w:eastAsia="仿宋_GB2312"/>
          <w:sz w:val="28"/>
          <w:szCs w:val="28"/>
        </w:rPr>
        <w:t>批    20</w:t>
      </w:r>
      <w:r>
        <w:rPr>
          <w:rFonts w:hint="eastAsia" w:ascii="Times New Roman" w:hAnsi="Times New Roman" w:eastAsia="仿宋_GB2312"/>
          <w:sz w:val="28"/>
          <w:szCs w:val="28"/>
        </w:rPr>
        <w:t>20</w:t>
      </w:r>
      <w:r>
        <w:rPr>
          <w:rFonts w:ascii="Times New Roman" w:hAnsi="Times New Roman" w:eastAsia="仿宋_GB2312"/>
          <w:sz w:val="28"/>
          <w:szCs w:val="28"/>
        </w:rPr>
        <w:t>年</w:t>
      </w:r>
      <w:r>
        <w:rPr>
          <w:rFonts w:hint="eastAsia" w:ascii="Times New Roman" w:hAnsi="Times New Roman" w:eastAsia="仿宋_GB2312"/>
          <w:sz w:val="28"/>
          <w:szCs w:val="28"/>
          <w:u w:val="single"/>
        </w:rPr>
        <w:t>11</w:t>
      </w:r>
      <w:r>
        <w:rPr>
          <w:rFonts w:ascii="Times New Roman" w:hAnsi="Times New Roman" w:eastAsia="仿宋_GB2312"/>
          <w:sz w:val="28"/>
          <w:szCs w:val="28"/>
        </w:rPr>
        <w:t>月</w:t>
      </w:r>
      <w:r>
        <w:rPr>
          <w:rFonts w:hint="eastAsia" w:ascii="Times New Roman" w:hAnsi="Times New Roman" w:eastAsia="仿宋_GB2312"/>
          <w:sz w:val="28"/>
          <w:szCs w:val="28"/>
          <w:u w:val="single"/>
          <w:lang w:val="en-US" w:eastAsia="zh-CN"/>
        </w:rPr>
        <w:t>6</w:t>
      </w:r>
      <w:r>
        <w:rPr>
          <w:rFonts w:ascii="Times New Roman" w:hAnsi="Times New Roman" w:eastAsia="仿宋_GB2312"/>
          <w:sz w:val="28"/>
          <w:szCs w:val="28"/>
        </w:rPr>
        <w:t>日</w:t>
      </w:r>
      <w:r>
        <w:rPr>
          <w:rFonts w:hint="eastAsia" w:ascii="Times New Roman" w:hAnsi="Times New Roman" w:eastAsia="仿宋_GB2312"/>
          <w:sz w:val="28"/>
          <w:szCs w:val="28"/>
        </w:rPr>
        <w:t>交办</w:t>
      </w:r>
      <w:r>
        <w:rPr>
          <w:rFonts w:ascii="Times New Roman" w:hAnsi="Times New Roman" w:eastAsia="仿宋_GB2312"/>
          <w:sz w:val="28"/>
          <w:szCs w:val="28"/>
        </w:rPr>
        <w:t>）</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第十</w:t>
      </w:r>
      <w:r>
        <w:rPr>
          <w:rFonts w:hint="eastAsia" w:asciiTheme="minorEastAsia" w:hAnsiTheme="minorEastAsia" w:eastAsiaTheme="minorEastAsia" w:cstheme="minorEastAsia"/>
          <w:sz w:val="28"/>
          <w:szCs w:val="28"/>
          <w:lang w:eastAsia="zh-CN"/>
        </w:rPr>
        <w:t>四</w:t>
      </w:r>
      <w:r>
        <w:rPr>
          <w:rFonts w:hint="eastAsia" w:asciiTheme="minorEastAsia" w:hAnsiTheme="minorEastAsia" w:eastAsiaTheme="minorEastAsia" w:cstheme="minorEastAsia"/>
          <w:sz w:val="28"/>
          <w:szCs w:val="28"/>
        </w:rPr>
        <w:t>批转办我市信访件</w:t>
      </w:r>
      <w:r>
        <w:rPr>
          <w:rFonts w:hint="eastAsia" w:asciiTheme="minorEastAsia" w:hAnsiTheme="minorEastAsia" w:eastAsiaTheme="minorEastAsia" w:cstheme="minorEastAsia"/>
          <w:sz w:val="28"/>
          <w:szCs w:val="28"/>
          <w:lang w:val="en-US" w:eastAsia="zh-CN"/>
        </w:rPr>
        <w:t>18</w:t>
      </w:r>
      <w:r>
        <w:rPr>
          <w:rFonts w:hint="eastAsia" w:asciiTheme="minorEastAsia" w:hAnsiTheme="minorEastAsia" w:eastAsiaTheme="minorEastAsia" w:cstheme="minorEastAsia"/>
          <w:sz w:val="28"/>
          <w:szCs w:val="28"/>
        </w:rPr>
        <w:t>件，调查核实、处理和整改情况如下：</w:t>
      </w:r>
    </w:p>
    <w:p>
      <w:pPr>
        <w:spacing w:line="600" w:lineRule="exact"/>
        <w:jc w:val="left"/>
        <w:rPr>
          <w:rFonts w:ascii="Times New Roman" w:hAnsi="Times New Roman" w:eastAsia="仿宋_GB2312"/>
          <w:sz w:val="28"/>
          <w:szCs w:val="28"/>
        </w:rPr>
      </w:pPr>
    </w:p>
    <w:tbl>
      <w:tblPr>
        <w:tblStyle w:val="4"/>
        <w:tblW w:w="152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7"/>
        <w:gridCol w:w="1125"/>
        <w:gridCol w:w="2055"/>
        <w:gridCol w:w="1125"/>
        <w:gridCol w:w="1110"/>
        <w:gridCol w:w="4350"/>
        <w:gridCol w:w="765"/>
        <w:gridCol w:w="2895"/>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77" w:type="dxa"/>
            <w:shd w:val="clear" w:color="auto" w:fill="auto"/>
            <w:vAlign w:val="center"/>
          </w:tcPr>
          <w:p>
            <w:pPr>
              <w:spacing w:line="400" w:lineRule="exact"/>
              <w:jc w:val="center"/>
              <w:rPr>
                <w:rFonts w:ascii="宋体" w:hAnsi="宋体"/>
                <w:b/>
                <w:szCs w:val="21"/>
              </w:rPr>
            </w:pPr>
            <w:r>
              <w:rPr>
                <w:rFonts w:ascii="宋体" w:hAnsi="宋体"/>
                <w:b/>
                <w:szCs w:val="21"/>
              </w:rPr>
              <w:t>序号</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受理编号</w:t>
            </w:r>
          </w:p>
        </w:tc>
        <w:tc>
          <w:tcPr>
            <w:tcW w:w="2055" w:type="dxa"/>
            <w:shd w:val="clear" w:color="auto" w:fill="auto"/>
            <w:vAlign w:val="center"/>
          </w:tcPr>
          <w:p>
            <w:pPr>
              <w:spacing w:line="400" w:lineRule="exact"/>
              <w:jc w:val="center"/>
              <w:rPr>
                <w:rFonts w:ascii="宋体" w:hAnsi="宋体"/>
                <w:b/>
                <w:szCs w:val="21"/>
              </w:rPr>
            </w:pPr>
            <w:r>
              <w:rPr>
                <w:rFonts w:ascii="宋体" w:hAnsi="宋体"/>
                <w:b/>
                <w:szCs w:val="21"/>
              </w:rPr>
              <w:t>交办问题基本情况</w:t>
            </w:r>
          </w:p>
        </w:tc>
        <w:tc>
          <w:tcPr>
            <w:tcW w:w="1125" w:type="dxa"/>
            <w:shd w:val="clear" w:color="auto" w:fill="auto"/>
            <w:vAlign w:val="center"/>
          </w:tcPr>
          <w:p>
            <w:pPr>
              <w:spacing w:line="400" w:lineRule="exact"/>
              <w:jc w:val="center"/>
              <w:rPr>
                <w:rFonts w:ascii="宋体" w:hAnsi="宋体"/>
                <w:b/>
                <w:szCs w:val="21"/>
              </w:rPr>
            </w:pPr>
            <w:r>
              <w:rPr>
                <w:rFonts w:ascii="宋体" w:hAnsi="宋体"/>
                <w:b/>
                <w:szCs w:val="21"/>
              </w:rPr>
              <w:t>行政区域</w:t>
            </w:r>
          </w:p>
        </w:tc>
        <w:tc>
          <w:tcPr>
            <w:tcW w:w="1110" w:type="dxa"/>
            <w:shd w:val="clear" w:color="auto" w:fill="auto"/>
            <w:vAlign w:val="center"/>
          </w:tcPr>
          <w:p>
            <w:pPr>
              <w:spacing w:line="400" w:lineRule="exact"/>
              <w:jc w:val="center"/>
              <w:rPr>
                <w:rFonts w:ascii="宋体" w:hAnsi="宋体"/>
                <w:b/>
                <w:szCs w:val="21"/>
              </w:rPr>
            </w:pPr>
            <w:r>
              <w:rPr>
                <w:rFonts w:ascii="宋体" w:hAnsi="宋体"/>
                <w:b/>
                <w:szCs w:val="21"/>
              </w:rPr>
              <w:t>污染类型</w:t>
            </w:r>
          </w:p>
        </w:tc>
        <w:tc>
          <w:tcPr>
            <w:tcW w:w="4350" w:type="dxa"/>
            <w:shd w:val="clear" w:color="auto" w:fill="auto"/>
            <w:vAlign w:val="center"/>
          </w:tcPr>
          <w:p>
            <w:pPr>
              <w:spacing w:line="400" w:lineRule="exact"/>
              <w:jc w:val="center"/>
              <w:rPr>
                <w:rFonts w:ascii="宋体" w:hAnsi="宋体"/>
                <w:b/>
                <w:szCs w:val="21"/>
              </w:rPr>
            </w:pPr>
            <w:r>
              <w:rPr>
                <w:rFonts w:ascii="宋体" w:hAnsi="宋体"/>
                <w:b/>
                <w:szCs w:val="21"/>
              </w:rPr>
              <w:t>调查核实情况</w:t>
            </w:r>
          </w:p>
        </w:tc>
        <w:tc>
          <w:tcPr>
            <w:tcW w:w="765" w:type="dxa"/>
            <w:shd w:val="clear" w:color="auto" w:fill="auto"/>
            <w:vAlign w:val="center"/>
          </w:tcPr>
          <w:p>
            <w:pPr>
              <w:spacing w:line="400" w:lineRule="exact"/>
              <w:jc w:val="center"/>
              <w:rPr>
                <w:rFonts w:ascii="宋体" w:hAnsi="宋体"/>
                <w:b/>
                <w:szCs w:val="21"/>
              </w:rPr>
            </w:pPr>
            <w:r>
              <w:rPr>
                <w:rFonts w:ascii="宋体" w:hAnsi="宋体"/>
                <w:b/>
                <w:szCs w:val="21"/>
              </w:rPr>
              <w:t>是否属实</w:t>
            </w:r>
          </w:p>
        </w:tc>
        <w:tc>
          <w:tcPr>
            <w:tcW w:w="2895" w:type="dxa"/>
            <w:shd w:val="clear" w:color="auto" w:fill="auto"/>
            <w:vAlign w:val="center"/>
          </w:tcPr>
          <w:p>
            <w:pPr>
              <w:spacing w:line="400" w:lineRule="exact"/>
              <w:jc w:val="center"/>
              <w:rPr>
                <w:rFonts w:ascii="宋体" w:hAnsi="宋体"/>
                <w:b/>
                <w:szCs w:val="21"/>
              </w:rPr>
            </w:pPr>
            <w:r>
              <w:rPr>
                <w:rFonts w:ascii="宋体" w:hAnsi="宋体"/>
                <w:b/>
                <w:szCs w:val="21"/>
              </w:rPr>
              <w:t>处理和整改情况</w:t>
            </w:r>
          </w:p>
        </w:tc>
        <w:tc>
          <w:tcPr>
            <w:tcW w:w="1241" w:type="dxa"/>
            <w:shd w:val="clear" w:color="auto" w:fill="auto"/>
            <w:vAlign w:val="center"/>
          </w:tcPr>
          <w:p>
            <w:pPr>
              <w:spacing w:line="400" w:lineRule="exact"/>
              <w:jc w:val="center"/>
              <w:rPr>
                <w:rFonts w:ascii="宋体" w:hAnsi="宋体"/>
                <w:b/>
                <w:szCs w:val="21"/>
              </w:rPr>
            </w:pPr>
            <w:r>
              <w:rPr>
                <w:rFonts w:ascii="宋体" w:hAnsi="宋体"/>
                <w:b/>
                <w:szCs w:val="21"/>
              </w:rPr>
              <w:t>责任人被处理情况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D1YZ202000192</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经开区仁湾街道高新村马边塘组红胜搅拌厂内的沥青搅拌异味特别大，离距红胜搅拌厂500米有一家红砖厂，烟囱直排，灰尘大，影响周边的环境。</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永州经济技术开发区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left"/>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部分属实。“经开区仁湾街道高新村马边塘组红胜搅拌厂内的沥青搅拌异味特别大”情况部分属实；“离距红胜搅拌厂500米有一家红砖厂，烟囱直排，灰尘大，影响周边的环境”情况不属实。</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永州市红顺建设工程材料有限公司已采取以下整改措施，以降低生产后的废气，减少异味：1、更换吸附介质（活性炭），提高废气吸附去除率；2、更换损坏的除尘布袋，及时更换布袋除尘反吹气阀；3、加强公司内部管理，污染防治措施的台账化管理；4、加强对原材料质量管控，减少无组织废气排放。</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区将进一步加强对永州市红顺建设工程材料有限公司和永州市滩头湾顺发页岩砖有限公司的环境监管，确保其污染治理设施正常运行，各项污染物排放指标稳定达标，减少对周边环境的影响。</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2</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D1YZ202000193</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江永县桃川镇大地坪村第八组非凡化工厂：法定人谢云江和陈姓老板6月从外地拉入危废（含80度的三氧化二锌）在场内填埋。</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江永县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土壤</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经调查核实，该信访件举报内容属实，与10月29日交办的第六批D1YZ202000070群众信访件内容基本相同，属重复信访件。</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（一）前期整改情况</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1.已拟定《省第五生态环境保护督察组转交办的第六批D1YZ202000070群众信访件整改方案》，为科学有序办理此群众信访案件提供有力保障。</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2.2020年11月4日，县委常委、县政法委书记邬双飞组织县公安局、县人民法院、县人民检察院、县司法局、县科工局、县生态环境分局等有关单位负责人召开非凡化工污染环境会商会，研究部署对非凡化工固废填埋物有关责任人进行立案调查。11月5日市生态环境局江永分局已将有关案卷移交给县公安局，县公安局已立案侦查。</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3.2020年11月5日上午，副县长盘成军组织县政府办、县科工局、县生态环境分局、县应急管理局等相关单位负责人开会，进一步讨论研究非凡化工信访案件处置整改方案，明确相关单位整改责任和目标。</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4.由县委政法委牵头，县公安局、县人民法院、县人民检察院、市生态环境局江永分局组成的联合调查组已就信访件反映的固废填埋物一事开展深入细致的调查，将依据调查结果，对有关违法犯罪人员依法依规予以打击。</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5.11月5日至6日，县政府办四级调研员、县处置该信访件领导小组副组长杜中国率领县科工、生态环境等有关单位负责人又先后到郴州钖涛环保有限公司、衡阳志远环保有限公司考察，与衡阳志远环保有限公司深入洽谈非凡化工固废和原料处置事项，并达成了意向。</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（二）后期工作改进措施</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1.加快厂区内固体废物和原材料的外运处置。由永州市生态环境局江永分局负责联系好有资质的固废处置公司后，报县委县政府决策，解决处置资金和签订处置协议，尽快启动固废和原材料的外运处置，在规定时间内处置到位。</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2.永州市生态环境局江永分局将积极主动与国家、省、市相关职能部门汇报衔接，争取非凡化工历史遗留土壤治理项目早日进入省级或者国家重点项目库，解决治理资金问题。</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3.江永县公安局、县检察院、县法院等司法部门，要依法依规对涉嫌环境污染犯罪的企业及相关负责人进行严厉打击。</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4.桃川镇政府、永州市生态环境局江永分局、县科工局、县应急管理局等部门要加强日常监督管理，确保在固废未完全处置前不发生环境污染事件。</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3</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D1YZ202000194</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宁远县舜陵镇蔡家村4组赖家：福利养老院、福利医院的污水排入赖家村民水沟，没有排入污水管道；水井影响村民井水饮用。</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宁远县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该信访件所反映的“福利养老院和福利医院”，实为宁远县社会福利中心，是由县民政局主办的一家医养结合型综合养老服务机构,位于宁远县舜陵街道和谐村。该社会福利中心采取“公建民营”经营模式的社会养老机构，由宁远县福慈医院有限公司进行经营，经营范围为内科、外科、妇科、眼科、等医疗服务与养老服务。目前，该福利中心的医疗服务业务因经营不善，已于2020年9月1日停止营业。养老院现在养人员200余人，其中大多为老年痴呆，瘫痪，残疾人员。因县福利中心建成运营时，县市政排污管道尚未铺设到赖家村路段，近年市政排污管道铺设后，社会福利中心还没有及时将排污管道接入市政排污收集管网，所以福利中心产生的废水，经自建的污水处理设施处理后直接排入村民水沟，没有排入市政污水管道进入城市污水处理厂处理。</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县疾控中心已对该村的水井抽样,现正在检测分析中。</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1.立即交办。县接到该交办件后，县突出环境问题整改领导小组办公室立即对县民政局、县卫健局、县城管综合执法局、县疾控中心、市生态环境局宁远分局、舜陵街道办事处进行交办，下发了交办函。</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2、加快排污管网建设。县民政局会同县城管综合执法局及时规划修建从福利中心污水排放口至市政污水管道的管网，确保废水进入县城市集中污水管网。</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3.做好群众解释工作。县民政局加强与周边群众沟通协调，舜陵街道办事处及时做好群众宣传解释工作。</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4.日常监管。县民政局等相关职能部门加强对该社会福利中心的日常监管。</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4</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D1YZ202000195</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道县华新水泥厂：粉尘大，噪音大，两栋宿舍楼中间化粪池渗入地下水，影响村民饮用水；对公示结果不满意。</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道县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1.反映粉尘大问题不属实。该公司粉尘、废气排放都采取了有效的治理措施，2019-2020年度无组织及有组织废气经第三方公司检测均达标排放标。湖南省自然资源厅认定华新水泥（道县）有限公司寄家岭石灰石矿为湖南省绿色矿山。2.反映噪音大问题不属实。公司采取了相应的噪音防治措施，2019年以来检测数据结果均未超过排放限值。开窑时的余热发电设施在窑运行前产生的排气声是偶发性噪声，不是经常性、连续性噪声。3.两栋宿舍楼中间化粪池渗入地下水，影响村民饮用水问题不属实。于2020年10月26日晚，委托湖南坤诚检测技术有限公司对熊家古井、南面围墙外水体、宿舍楼外排水取样检测,检测结果达标，生活污水排口COD浓度31mg/L，小于围墙外水体排口COD浓度38mg/L，华新水泥污水外渗到围墙外的情况不存在。历次水质检测结果表明，华新水泥道县公司对村民饮用水源不造成污染。</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处理情况：华新公司已明确专人清扫厂区道路，西大门已建成冲洗平台，物流中心停车场已全部完成硬化，对矿区已采取洒水降尘增湿措施，全面提升公司清洁化生产水平。今后，将加大日常监管，做到措施到位，并形成长效机制，杜绝问题反弹。</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5</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D1YZ202000196</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零陵区大庆坪乡晓宝田村石坝寨水库：二、三组村民生活污水直排到水库，影响了村民饮用水。</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零陵区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经调查核实，该信访件举报问题属实。其中反映“二、三组村民生活污水直排到水库”问题属实；反映“影响了村民饮用水”问题不属实。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晓宝田水库距离石坝仔正坝约1.5公里，副坝约3公里，东面有一天然溶洞通向石坝仔水库，1997年在通向石坝仔水库的溶洞口建设了一个铁闸，2020年10月12日，在溶洞口铁闸外10米左右处又建成一个拦水土坝，阻断了晓宝田水库与石坝仔水库的联通。</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反映“二、三组村民生活污水直排到水库”问题属实。大庆坪乡晓宝田村2、3组为移民区，户籍人口65户，252人，常年在家大概36户82人，大部分家庭已有卫生厕所，还有少数人家没有改厕。工作人员围绕晓宝田水库进行了仔细勘察，现场虽然没有污水直排现象，但是发现该村没有生活污水收集处理设施，生活用水量大时，会有少量生活污水随排水沟流入晓宝田水库。</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反映“影响了村民饮用水”问题不属实。2018年，原区移民局为了进一步提高群众生活质量，为晓宝田村2、3组提供自来水，在晓宝田水库上游方向打了一口井，经检测该水井水质符合饮用水标准。之后，从来没有人反映该水井水质有问题。 </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1、制定整改方案，对晓宝田村没有完成改厕的农户开展改厕工作，做到应改尽改；对生活污水进行收集处理，达标排放。</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2、督促大庆坪乡、晓宝田村开展广泛深入的宣传发动，开展村庄清洁行动，树立环境保护意识，改变农村传统生活陋习。</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6</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D1YZ202000197</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经开区仁湾镇高新村马边塘水库30年没有维修，干旱见底，村民用水非常困难。</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经开区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其他污染</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1.2008年由湖南省发展和改革委员会批准修建湖南省冷水滩经东安至广西边界公路冷水滩至东安段建设工程项目时，马鞭塘水库大部分被填埋成二级公路，库容规模大大减少、功能基本丧失、常年无法蓄水，按照《水库降等与报废管理办法》(水利部令第18号)文件精神要求，区对马鞭塘水库进行报废处理，故未维修；2.2018年区扶贫办为马鞭塘组村民修建了单村饮水工程，并由区管委出资为当地百姓接管入户，项目已移交给组里自行管理，饮水工程正常运行，但由于组内未安排专人管理，导致抽水机出现故障，未及时发现，造成村民用水困难。</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区相关部门组织村民召开会议，要求马鞭塘组针对饮水工程安排专人管理，目前，已更换抽水机，顺利送水入户，“村民用水非常困难”已完成整改。</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000000"/>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7</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D1YZ202000198</w:t>
            </w:r>
          </w:p>
        </w:tc>
        <w:tc>
          <w:tcPr>
            <w:tcW w:w="205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冷水滩区南华福临锦江小区内垃圾成堆，影响小区居民生活正常。</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其他污染</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南华富临锦江小区内的垃圾堆为小区内垃圾临时存放点。由于该小区新交付的金龙苑业主装修，每天产生了一定量的建筑垃圾和生活垃圾，由物业公司每天早上六点或晚上六点将垃圾清走。</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区城管执法局已督促物业公司进行清理，三多亭社区要求富临锦江小区物业管理公司加强清扫次数与垃圾清运频率，确保小区内卫生秩序良好。</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8</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D1YZ202000200</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反映道县湖南科茂林化有限公司（道县工业大道1号）排放污染气体，气味很臭，严重影响居民生活和身体健康。曾多次向生态环境局道县分局反映及拔打12369热线举报，请求相关部门依法依规处理。</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道县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1.反映排放污染气体，气味很臭，严重影响居民生活和身体健康问题属实。公司按季开展自行检测，根据2020年期间检测报告，废气排放指标均在大气排放限值内。公司的气味源为松香车间装桶热松香处、松香车间出废渣处、污水处理站的隔油池和废水排放口、松香车间和树脂一车间及树脂二车间三处废气治理的排气口。根据实地踏勘结果，生产区上风向50m内、下风向170m内均无居民点，厂界西侧居民点不在主风向内。根据卫健部门提供的公司员工职业病健康体检报告，未发现有对人体有影响的记录。2.反映曾多次向生态环境局道县分局反映及拔打12369热线举报，请求相关部门依法依规处理问题属实。为解决居民反映的气味扰民问题，高新区管委会积极与永州市生态环境局道县分局衔接，要求科茂公司在确保废气稳定达标排放的前提下，优化升级污染治理技术，提升污染治理能力。</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处理情况：加大整改力度，按照“立行立改”原则，不能立行立改的制定切实可行的整改期限进行整改到位。立行立改的问题7天内完成；督促科茂公司于11月30日前完成松香车间出香处、出废渣处、污水处理站隔油池整改；11月30日前对工作场所有员工进行一次职业病危害体检。鼓励企业开展VOCs治理，切实解决气味对部分人群造成的不适应问题。</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9</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D1YZ202000202</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反映江华县沱江镇春天瑶郡小区路边新疆阿布来提烤肉店及酒店的油烟大、噪音大，影响居民生活。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江华县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噪声、大气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该信访件与第13批D1YZ202000174号反映问题基本相同，对反映的问题已经进行了调查处理。11月5日，接交办件后，县里高度重视，由县城市管理和综合执法局牵头，立即组织永州市生态环境局江华分局、沱江镇政府等相关单位进行现场调查。信访人反映的部分属实。春天瑶郡小区门面新疆阿布来提烧烤店、广源大酒店、夜品烤鱼店3家餐饮店均安装了油烟净化设施，现场检查时，净化设施运行正常，油烟排放符合《饮食业油烟排放标准》，不存在油烟污染问题。但存在噪音扰民情况，是顾客喧哗、吵闹声音扰民。</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执法人员现场对新疆阿布来提烧烤店及广源大酒店餐饮店负责人和顾客进行了现场教育，并要求餐饮店负责人采取闭门营业和劝导客人文明就餐措施，消除噪声扰民问题。后续加强对以上餐饮店的油烟净化设施规范运行的检查和监测工作，确保不产生噪音扰民和油烟超标排放的污染现象。</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10</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D1YZ202000203</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反映新田县人民医院食堂门口有七八颗古树被医院工作人员用砖头围栏至树木干枯，已有两棵特别严重，破坏生态环境。</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新田县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生态破坏</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该问题部分属实。其中，“新田县人民医院食堂门口有七八棵古树”不属实，“用砖头围栏”属实，“树木干枯，已有两棵特别严重，破坏生态环境”不属实。11月6日接到交办件当天，县自然资源局组织卫健局、人民医院、龙泉镇、新华社区的负责同志赴县人民医院现场进行调查核实。经调查，县人民医院食堂周边共有古树5棵，共3棵古树被砖头围砌，其中一棵树枝末端存在干枯现象，但目前已经逐渐好转，整棵树长势良好（见附图1）。2019年，县人民医院因创建“二甲”医院需要，院内道路进行了切坡改造，土方清表后导致1棵古树所在地地势大幅降低。当时考虑到施工对古树根系生长可能带来一定影响，为保护古树，工作人员对古树周边进行了护坡并砌砖围栏培土。因今年前期持续干旱，2个月前，县人民医院工作人员发现院内这一棵古树少部分树枝末端几近干枯，县人民医院在园林中心协助下立即采取了复壮措施，近2个月来一直按照园林部门的技术要求做好钻孔、施肥、浇水等工作。目前县人民医院院内的古树均长势良好。</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要求县人民医院切实担负起院内古树名木保护的第一责任，坚持做好院内古树名木的培育和保护工作，县园林中心应提供必要的技术支持，确保古树正常生长。</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11</w:t>
            </w:r>
          </w:p>
        </w:tc>
        <w:tc>
          <w:tcPr>
            <w:tcW w:w="112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D1YZ202000204</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反映冷水滩区207国道马坪往普利桥和黄阳司路上永州市鑫旺碳棒厂（木材加工厂）灰尘污染、噪声大，影响周边居民生活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噪声、大气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2020年10月29日，区已收到市配合省生态环境保护督察工作协调联络工作组转交的第6批D1YZ202000071群众信访件“冷水滩马坪开发区207省道（黄阳司方向）永州市鑫旺碳棒厂，灰尘大，噪声大。”与该信访件举报内容基本一致。</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2020年10月30日，市、区生态环境部门工作人员陪同市、区两级政府分管领导进行了现场核查。经查实：该公司名称为永州市利祥生物科技有限公司，位于冷水滩区马坪农业开发区马坪村，法人代表是唐跃军，公司起建于2018年12月，2019年5月开始投入生产，主要从事生物质颗粒制造，公司占地面积约5000平方米，年产量约3000吨，工商注册资金260万人民币。该公司生产时间为每天8：00至12：00，13：00至17：30，23:00至07:00 。该公司在原料切碎、粉碎环节会产生粉尘，粉尘经集灰罩统一收集后再经布袋除尘器处理。该公司办理了环评手续，并于2019年11月20日在市生态环境局冷水滩分局取得了《关于永州市利祥生物科技有限公司年产量3000t生物质颗粒建设项目环境影响报告表的批复》（冷环管字〔2019〕34号）。未完成建设项目环保“三同时”验收，已完成固定污染源排污登记。</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2020年10月30日，市生态环境局冷水滩分局工作人员现场勘查该公司时发现：1.原料储存、装卸及生产车间未进行全封闭。2.生产场地未做到整洁有序。随后市生态环境局冷水滩分局工作人员对该公司法定代表人唐跃军制作了《永州市生态环境局冷水滩分局污染源现场监察记录》《永州市生态环境局冷水滩分局调查询问笔录》，并下达了《永州市生态环境局冷水滩分局责令改正违法行为决定书》（冷环责改字〔2020〕47号），责令其：1.立即停止生产；2.立即对上述问题进行整改，并于2020年11月2日前全面整改到位。马坪农业开发区安监站对该公司下达了《责令整改通知书》，要求：1.限该厂于31日前增设除尘风炮机、安装除尘喷雾头；2.只在9时至17时开机，尽量减少对周边居民的影响。</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2020年11月5日，市生态环境局冷水滩分局工作人员到现场检查时，发现该公司已完成以下整改：1.对生产车间已封闭；2.在生产车间进出口安装喷淋机炮雾机进行降尘，3.规范原料的堆放，并保持厂内整洁。同日，冷水滩区环境监测站工作人员对该公司的东、西、东北、西北侧居民楼和南侧居民楼5个点位进行了昼夜两次噪声监测。11月6日出具的监测报告（冷环委监（字）[2020]第83号）显示，噪声均达标。</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下一步，市生态环境局冷水滩分局工作人员将开展不定期巡查，确保该公司在生产过程中做好封闭，正常运行污染处理设施。</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12</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D1YZ202000205</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反映新田县锦绣天下时光走廊KTV噪声很大，营业至凌晨2点，影响业主生活和身体健康，曾向生态环境局新田分局反映，依然未整改到位。</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新田县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噪声</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经调查，该问题部分属实。其中“新田县锦绣天下时代走廊KTV”不属实，经查证，该场所工商注册名为“新田县时光走廊文艺清吧”，位于锦绣天下小区东溪街铺面2楼，面积约100㎡。经县文化主管部门鉴定，其性质不属于KTV。“噪声很大”尚未查实，县生态环境局分别于11月6日-8日晚3次赴现场开展执法监测，但是3次均没有人员唱歌，场内共8个音响中只有2个音响在播放音乐。根据生态环境监测技术规范要求，该酒吧运行工况未达75%的负荷，监测数据不能真实反映该场所经营的真实状况，故暂时无法查实噪音是否超标。“营业至凌晨2点”部分属实，据周边群众和酒吧负责人反映，该酒吧打烊时间一般在00：00左右，个别时候营业至凌晨02：00。</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由于在信访件办理期限3日内县执法人员3次登门均没有检测到反映该清吧真实运行工况的噪音分贝有效数据。接到交办件以来，县城管、环保部门均已多次对该清吧负责人进行劝导，清吧负责人承诺在今后经营中保持适当音量，营业时间严格按照市场监管部门要求执行，尽量消除噪音对周边居民的打扰。今后，我县城管、市监、生态环境等部门将对该清吧重点关注，保持动态监管，一旦发现违法违规行为将依法严处。</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13</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D1YZ202000207</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反映江华县水泥厂老厂区家属宿舍被垃圾覆盖，厂区成垃圾场，臭气难闻，影响居民生活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江华县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经现场核查，信访人反映问题属实。江华县原水泥厂已拆除的老厂区内堆有建筑垃圾和少量生活垃圾，但无明显气味，该厂区内无人居住。</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将堆放的生活垃圾和建筑垃圾清运到垃圾填理场处理。</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ascii="仿宋" w:hAnsi="仿宋" w:eastAsia="仿宋" w:cstheme="minorEastAsia"/>
                <w:sz w:val="20"/>
                <w:szCs w:val="20"/>
              </w:rPr>
            </w:pPr>
            <w:r>
              <w:rPr>
                <w:rFonts w:hint="eastAsia" w:ascii="仿宋" w:hAnsi="仿宋" w:eastAsia="仿宋" w:cstheme="minorEastAsia"/>
                <w:sz w:val="20"/>
                <w:szCs w:val="20"/>
              </w:rPr>
              <w:t>14</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D1YZ202000208</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反映冷水滩区黄阳司镇老街门口（老电影院里）碎石场灰尘大、噪音大，影响居民生活。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噪音、大气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经调查核实，该信访件举报内容属实。</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2020年11月8日，市生态环境局冷水滩分局执法人员进行了现场核查。经查实：该碎石场名称为永州市冷水滩区潇湘石粉厂，位于冷水滩区黄阳司镇车站村5号，统一社会信用代码：92431103MA4LPPF38D，法人代表雷建斌，总投资50万元。该公司起建于2020年8月，2020年9月开始投入生产，主要生产饲料添加剂，用做鸡、鸭饲料辅料。公司占地面积约500平方米，于2020年7月租赁黄成虎的厂房用做生产厂房。</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该公司有粉碎机、振动筛及电动机各1台，生产时间为每天上午8时至11时30分，下午14时30分至17时 。碎石（原材料）来源于祁阳大村甸采石场，经粉碎机粉碎后进入振动筛处理后装袋。生产过程中的噪声主要由粉碎机、电动机产生；振动筛采取了密闭措施；安装了布袋除尘设施。该公司于2009年5月4日办理了《饲料生产企业审查合格证》（湘饲审（2009）110sh10），未办理环评手续。</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2020年11月8日，市生态环境局冷水滩分局工作人员对该公司法定代表人雷建斌制作了《永州市生态环境保护综合行政执法支队冷水滩大队调查询问笔录》及《永州市生态环境保护综合行政执法支队冷水滩大队污染源现场监察记录》，要求其：1.立即停止生产；2.清理生产设备和原材料；3.办理环评手续。</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下一步，市生态环境局冷水滩分局工作人员将督促该公司按上述要求整改到位。</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15</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D1YZ202000209</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反映1、冷水滩卫星水泥厂旁边混泥土公司之前一直在生产污水乱排，灰尘大，夜间生产噪音扰民，新开办企业，2、目前省督查来了，现在没有生产。</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水、噪音、大气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 xml:space="preserve">    经调查核实，该信访件举报内容不属实。</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11月6日，经市生态环境局冷水滩分局执法人员现场查看，冷水滩卫星水泥厂是一家废弃的工厂，位于永州市冷水滩区上岭桥镇楼子房村宋家坪组，旁边有2家混凝土公司。其中1家是永州市金石为开新型环保建材中心（有限合伙），另1家是永州市冷水滩区金马混凝土有限责任公司。</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一）永州市金石为开新型环保建材中心于2018年12月13日成立，2019年底开始建设，2020年初受疫情影响一直停建，6月初至今一直进行项目建设，还未生产。公司占地面积14600m2，执行事务合伙人蒋荣荣，统一社会信用代码：91431103MA4Q68862K，注册资本3000万，主要经营范围是干混砂浆、混凝土及其制品等建筑材料。该公司于2019年8月12日在区发展和改革局办理了《永州市金石为开新型环保建材中心干混砂浆建设项目备案》（冷发改备案证字〔2019〕107号）；2019年12月16日在市生态环境局冷水滩分局办理了《关于永州市金石为开新型环保建材中心砂浆建设项目环境影响报告表的批复》（冷环管字〔2019〕40号）。</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二）永州市冷水滩区金马混凝土有限责任公司于2019年1月3日成立，2019年4月份开工建设，2019年8月份生产。公司总占地面积2600m2，总建筑面积1760m2，总投资1000万元，统一社会信用代码：91431100MA4Q7J3668，法定代表人马日珍，主要经营范围是商品混凝土等建筑材料。公司目前有1条180m3/h混凝土搅拌站生产线，年产商品混凝土30万m3。该公司于2019年3月13日在市生态环境局取得了《永州市冷水滩区金马混凝土有限责任公司年产30万立方商品混凝土建设项目环境影响报告表的批复》（永环评〔2019〕9号）。未完成建设项目“三同时”验收。            </w:t>
            </w:r>
            <w:r>
              <w:rPr>
                <w:rFonts w:hint="eastAsia" w:ascii="仿宋" w:hAnsi="仿宋" w:eastAsia="仿宋" w:cs="仿宋"/>
                <w:i w:val="0"/>
                <w:color w:val="000000"/>
                <w:kern w:val="0"/>
                <w:sz w:val="20"/>
                <w:szCs w:val="20"/>
                <w:u w:val="none"/>
                <w:lang w:val="en-US" w:eastAsia="zh-CN" w:bidi="ar"/>
              </w:rPr>
              <w:br w:type="textWrapping"/>
            </w:r>
            <w:r>
              <w:rPr>
                <w:rFonts w:hint="eastAsia" w:ascii="仿宋" w:hAnsi="仿宋" w:eastAsia="仿宋" w:cs="仿宋"/>
                <w:i w:val="0"/>
                <w:color w:val="000000"/>
                <w:kern w:val="0"/>
                <w:sz w:val="20"/>
                <w:szCs w:val="20"/>
                <w:u w:val="none"/>
                <w:lang w:val="en-US" w:eastAsia="zh-CN" w:bidi="ar"/>
              </w:rPr>
              <w:t xml:space="preserve">    经查实，永州市冷水滩区金马混凝土有限责任公司平时间歇性生产，生产时间是早上6时至晚上20时。生产过程中主要有废水、扬尘产生。清洗搅拌车所产生的废水通过做了防渗漏的三级沉淀池（3个沉淀池共计1500m3）沉淀后循环利用。该公司建了洗车平台，安装了喷淋设施降尘，原料输送带进行了密闭。但原料场未搭建厂棚和围挡进行密闭，只用防尘网进行了覆盖，场地部分道路未硬化。 </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不属实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一）市生态环境局冷水滩分局执法人员对永州市金石为开新型环保建材中心现场负责人刘海波制作了《永州市生态环境保护综合行政执法支队冷水滩大队污染源现场监察记录》、《永州市生态环境保护综合行政执法支队冷水滩大队调查询问笔录》，要求其在主体项目建设过程中，建设好配套污染处理设施。</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二）市生态环境局冷水滩分局执法人员对永州市冷水滩区金马混凝土有限责任公司法定代表人马日珍制作了《永州市生态环境保护综合行政执法支队冷水滩大队污染源现场监察记录》、《永州市生态环境保护综合行政执法支队冷水滩大队调查询问笔录》，下达了《永州市生态环境保护综合行政执法支队冷水滩大队责令改正违法行为决定书》（永环责改冷字〔2020〕（107）号），责令其：1.限期整改，在2020年12月10日前搭建好原料厂棚、围挡，完成场内道路硬化；2.生产过程中落实好降尘措施，有效降低扬尘污染。</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16</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D1YZ202000210</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反映祁阳县大村甸镇新铺子村五组一家养猪场废水及粪便随意排放，影响周边居民正常生活。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祁阳县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水、大气</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经调查核实，该信访件举报内容属实。群众举报的养猪场是祁阳县大村甸镇新铺子村唐桂莲养猪场。该场位于新铺子村五组村级公路边，场地为自家住宅用地，周边砌有围场，猪舍共有8间，现饲养有12头肥猪。未建有雨污分离、干粪池、集粪池等环保设施。</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该场现正在进行整改，整改时限为10天。现养殖户主正在建设雨污分离设施，建设污水收集池。将渗入到周边的粪污及时清理，猪舍内的粪污及时清扫，集中处理。</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17</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D1YZ202000212</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反映祁阳县火车站天桥底下采石场灰尘大，噪音大，影响居民生活。</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祁阳县</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大气、噪音</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2020年11月6日，县城管局、市生态环境局祁阳分局和长虹街道办事处等单位人员组成联合调查组到现场进行调查核实，经核实,该信访件举报内容属实。该信访举报采石场名为祁阳奇达建材有限公司，该公司于2019年11月筹建一条碎石生产线，2019年12月投入运营。该公司未办理环保相关手续，传输带未采取密闭措施，场地内物料露天堆放，未采取围挡、遮盖等措施防治粉尘污染，影响周边环境。</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针对祁阳奇达建材有限公司环境违法行为，市生态环境局祁阳分局于2020年11月6日下达了《责令改正违法行为决定书》(祁环责改字〔2020〕184号)，责令该公司立即停止生产，同时下达了《环境保护查封决定书》(祁环查字〔2020〕09号)，对该公司低压配电屏及动力柜进行查封。11月8日对该公司进行复查，该公司已停止生产，并对场地内物料进行了遮盖。</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77" w:type="dxa"/>
            <w:shd w:val="clear" w:color="auto" w:fill="auto"/>
            <w:vAlign w:val="center"/>
          </w:tcPr>
          <w:p>
            <w:pPr>
              <w:spacing w:line="400" w:lineRule="exact"/>
              <w:jc w:val="center"/>
              <w:rPr>
                <w:rFonts w:hint="eastAsia" w:ascii="仿宋" w:hAnsi="仿宋" w:eastAsia="仿宋" w:cstheme="minorEastAsia"/>
                <w:sz w:val="20"/>
                <w:szCs w:val="20"/>
                <w:lang w:val="en-US" w:eastAsia="zh-CN"/>
              </w:rPr>
            </w:pPr>
            <w:r>
              <w:rPr>
                <w:rFonts w:hint="eastAsia" w:ascii="仿宋" w:hAnsi="仿宋" w:eastAsia="仿宋" w:cstheme="minorEastAsia"/>
                <w:sz w:val="20"/>
                <w:szCs w:val="20"/>
                <w:lang w:val="en-US" w:eastAsia="zh-CN"/>
              </w:rPr>
              <w:t>18</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D1YZ202000213</w:t>
            </w:r>
          </w:p>
        </w:tc>
        <w:tc>
          <w:tcPr>
            <w:tcW w:w="205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冷水滩区上岭桥镇上岭桥村鑫凯旋洗涤厂烟尘大，黑烟滚滚，废水外排影响饮用水。</w:t>
            </w:r>
          </w:p>
        </w:tc>
        <w:tc>
          <w:tcPr>
            <w:tcW w:w="112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冷水滩</w:t>
            </w:r>
          </w:p>
        </w:tc>
        <w:tc>
          <w:tcPr>
            <w:tcW w:w="1110"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大气、水</w:t>
            </w:r>
          </w:p>
        </w:tc>
        <w:tc>
          <w:tcPr>
            <w:tcW w:w="4350"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000000"/>
                <w:kern w:val="0"/>
                <w:sz w:val="20"/>
                <w:szCs w:val="20"/>
                <w:u w:val="none"/>
                <w:lang w:val="en-US" w:eastAsia="zh-CN" w:bidi="ar"/>
              </w:rPr>
              <w:t xml:space="preserve">    </w:t>
            </w:r>
            <w:r>
              <w:rPr>
                <w:rStyle w:val="10"/>
                <w:rFonts w:hint="eastAsia" w:ascii="仿宋" w:hAnsi="仿宋" w:eastAsia="仿宋" w:cs="仿宋"/>
                <w:sz w:val="20"/>
                <w:szCs w:val="20"/>
                <w:lang w:val="en-US" w:eastAsia="zh-CN" w:bidi="ar"/>
              </w:rPr>
              <w:t>经调查核实，该信访件举报内容属实。</w:t>
            </w:r>
            <w:r>
              <w:rPr>
                <w:rStyle w:val="10"/>
                <w:rFonts w:hint="eastAsia" w:ascii="仿宋" w:hAnsi="仿宋" w:eastAsia="仿宋" w:cs="仿宋"/>
                <w:sz w:val="20"/>
                <w:szCs w:val="20"/>
                <w:lang w:val="en-US" w:eastAsia="zh-CN" w:bidi="ar"/>
              </w:rPr>
              <w:br w:type="textWrapping"/>
            </w:r>
            <w:r>
              <w:rPr>
                <w:rStyle w:val="10"/>
                <w:rFonts w:hint="eastAsia" w:ascii="仿宋" w:hAnsi="仿宋" w:eastAsia="仿宋" w:cs="仿宋"/>
                <w:sz w:val="20"/>
                <w:szCs w:val="20"/>
                <w:lang w:val="en-US" w:eastAsia="zh-CN" w:bidi="ar"/>
              </w:rPr>
              <w:t xml:space="preserve">    冷水滩区上岭桥镇上岭桥村鑫凯旋洗涤厂名称为永州市冷水滩区鑫凯旋洗涤服务有限责任公司，位于冷水滩区上岭桥镇上岭桥村新鲁组。公司于2019年9月开工建设，2020年4月开始投入生产经营。公司统一社会信用代码：91431103MA4L61GQ3R，法定代表人是唐磊。经营范围主要是酒店、宾馆用品、制衣厂成衣洗涤服务。公司总投资50万元，总占地面积3000m</w:t>
            </w:r>
            <w:r>
              <w:rPr>
                <w:rFonts w:hint="eastAsia" w:ascii="仿宋" w:hAnsi="仿宋" w:eastAsia="仿宋" w:cs="仿宋"/>
                <w:i w:val="0"/>
                <w:color w:val="000000"/>
                <w:kern w:val="0"/>
                <w:sz w:val="20"/>
                <w:szCs w:val="20"/>
                <w:u w:val="none"/>
                <w:vertAlign w:val="superscript"/>
                <w:lang w:val="en-US" w:eastAsia="zh-CN" w:bidi="ar"/>
              </w:rPr>
              <w:t>2</w:t>
            </w:r>
            <w:r>
              <w:rPr>
                <w:rStyle w:val="10"/>
                <w:rFonts w:hint="eastAsia" w:ascii="仿宋" w:hAnsi="仿宋" w:eastAsia="仿宋" w:cs="仿宋"/>
                <w:sz w:val="20"/>
                <w:szCs w:val="20"/>
                <w:lang w:val="en-US" w:eastAsia="zh-CN" w:bidi="ar"/>
              </w:rPr>
              <w:t>,建筑面积1000m</w:t>
            </w:r>
            <w:r>
              <w:rPr>
                <w:rFonts w:hint="eastAsia" w:ascii="仿宋" w:hAnsi="仿宋" w:eastAsia="仿宋" w:cs="仿宋"/>
                <w:i w:val="0"/>
                <w:color w:val="000000"/>
                <w:kern w:val="0"/>
                <w:sz w:val="20"/>
                <w:szCs w:val="20"/>
                <w:u w:val="none"/>
                <w:vertAlign w:val="superscript"/>
                <w:lang w:val="en-US" w:eastAsia="zh-CN" w:bidi="ar"/>
              </w:rPr>
              <w:t>2</w:t>
            </w:r>
            <w:r>
              <w:rPr>
                <w:rStyle w:val="10"/>
                <w:rFonts w:hint="eastAsia" w:ascii="仿宋" w:hAnsi="仿宋" w:eastAsia="仿宋" w:cs="仿宋"/>
                <w:sz w:val="20"/>
                <w:szCs w:val="20"/>
                <w:lang w:val="en-US" w:eastAsia="zh-CN" w:bidi="ar"/>
              </w:rPr>
              <w:t>。该公司于2019年8月29日在市生态环境局冷水滩分局办理了《关于永州市冷水滩区鑫凯旋洗涤服务有限责任公司年洗涤70万套布草建设项目环境影响报告表的批复》（冷环管字〔2019〕25号）。</w:t>
            </w:r>
            <w:r>
              <w:rPr>
                <w:rStyle w:val="10"/>
                <w:rFonts w:hint="eastAsia" w:ascii="仿宋" w:hAnsi="仿宋" w:eastAsia="仿宋" w:cs="仿宋"/>
                <w:sz w:val="20"/>
                <w:szCs w:val="20"/>
                <w:lang w:val="en-US" w:eastAsia="zh-CN" w:bidi="ar"/>
              </w:rPr>
              <w:br w:type="textWrapping"/>
            </w:r>
            <w:r>
              <w:rPr>
                <w:rStyle w:val="10"/>
                <w:rFonts w:hint="eastAsia" w:ascii="仿宋" w:hAnsi="仿宋" w:eastAsia="仿宋" w:cs="仿宋"/>
                <w:sz w:val="20"/>
                <w:szCs w:val="20"/>
                <w:lang w:val="en-US" w:eastAsia="zh-CN" w:bidi="ar"/>
              </w:rPr>
              <w:t xml:space="preserve">    永州市冷水滩区鑫凯旋洗涤服务有限责任公司现有4台洗衣机，3台烘干机，1台烫平机，1台2吨的生物质锅炉，生物质锅炉所使用的燃料是生物质（木条），锅炉产生的废气通过布袋除尘设施处理后通过 25m高的烟囱向天空排放。洗涤废水通过公司安装的25t/d（吨/天）一体化污水处理设施处理后，排入公司厂区西面约500m的无名小河。</w:t>
            </w:r>
            <w:r>
              <w:rPr>
                <w:rStyle w:val="10"/>
                <w:rFonts w:hint="eastAsia" w:ascii="仿宋" w:hAnsi="仿宋" w:eastAsia="仿宋" w:cs="仿宋"/>
                <w:sz w:val="20"/>
                <w:szCs w:val="20"/>
                <w:lang w:val="en-US" w:eastAsia="zh-CN" w:bidi="ar"/>
              </w:rPr>
              <w:br w:type="textWrapping"/>
            </w:r>
            <w:r>
              <w:rPr>
                <w:rStyle w:val="10"/>
                <w:rFonts w:hint="eastAsia" w:ascii="仿宋" w:hAnsi="仿宋" w:eastAsia="仿宋" w:cs="仿宋"/>
                <w:sz w:val="20"/>
                <w:szCs w:val="20"/>
                <w:lang w:val="en-US" w:eastAsia="zh-CN" w:bidi="ar"/>
              </w:rPr>
              <w:t xml:space="preserve">   经查实，该公司周边有2处住户，均位于该公司北面约400m的坡上，2处住户日常饮用水都是订购的桶装水。</w:t>
            </w:r>
          </w:p>
        </w:tc>
        <w:tc>
          <w:tcPr>
            <w:tcW w:w="765"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属实</w:t>
            </w:r>
          </w:p>
        </w:tc>
        <w:tc>
          <w:tcPr>
            <w:tcW w:w="2895" w:type="dxa"/>
            <w:shd w:val="clear" w:color="auto" w:fill="auto"/>
            <w:vAlign w:val="center"/>
          </w:tcPr>
          <w:p>
            <w:pPr>
              <w:keepNext w:val="0"/>
              <w:keepLines w:val="0"/>
              <w:widowControl/>
              <w:suppressLineNumbers w:val="0"/>
              <w:jc w:val="both"/>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 xml:space="preserve">    11月6日，市生态环境局冷水滩分局执法人员现场对永州市冷水滩鑫凯旋洗涤服务有限责任公司法定代表人唐磊制作了《永州市生态环境保护综合行政执法支队冷水滩大队污染源现场监察记录》，要求其加强环保管理，确保污染处理设施正常稳定运行，污染物达标排放。随后区环境监测站工作人员对该公司废水、废气排放进行了采样监测。目前监测报告还未出具。</w:t>
            </w:r>
            <w:r>
              <w:rPr>
                <w:rFonts w:hint="eastAsia" w:ascii="仿宋" w:hAnsi="仿宋" w:eastAsia="仿宋" w:cs="仿宋"/>
                <w:i w:val="0"/>
                <w:color w:val="333333"/>
                <w:kern w:val="0"/>
                <w:sz w:val="20"/>
                <w:szCs w:val="20"/>
                <w:u w:val="none"/>
                <w:lang w:val="en-US" w:eastAsia="zh-CN" w:bidi="ar"/>
              </w:rPr>
              <w:br w:type="textWrapping"/>
            </w:r>
            <w:r>
              <w:rPr>
                <w:rFonts w:hint="eastAsia" w:ascii="仿宋" w:hAnsi="仿宋" w:eastAsia="仿宋" w:cs="仿宋"/>
                <w:i w:val="0"/>
                <w:color w:val="333333"/>
                <w:kern w:val="0"/>
                <w:sz w:val="20"/>
                <w:szCs w:val="20"/>
                <w:u w:val="none"/>
                <w:lang w:val="en-US" w:eastAsia="zh-CN" w:bidi="ar"/>
              </w:rPr>
              <w:t xml:space="preserve">    区相关职能部门将持续跟进，待监测报告出具后，再进行下一步处理。</w:t>
            </w:r>
          </w:p>
        </w:tc>
        <w:tc>
          <w:tcPr>
            <w:tcW w:w="1241" w:type="dxa"/>
            <w:shd w:val="clear" w:color="auto" w:fill="auto"/>
            <w:vAlign w:val="center"/>
          </w:tcPr>
          <w:p>
            <w:pPr>
              <w:keepNext w:val="0"/>
              <w:keepLines w:val="0"/>
              <w:widowControl/>
              <w:suppressLineNumbers w:val="0"/>
              <w:jc w:val="center"/>
              <w:textAlignment w:val="center"/>
              <w:rPr>
                <w:rFonts w:hint="eastAsia" w:ascii="仿宋" w:hAnsi="仿宋" w:eastAsia="仿宋" w:cs="仿宋"/>
                <w:color w:val="333333"/>
                <w:sz w:val="20"/>
                <w:szCs w:val="20"/>
              </w:rPr>
            </w:pPr>
            <w:r>
              <w:rPr>
                <w:rFonts w:hint="eastAsia" w:ascii="仿宋" w:hAnsi="仿宋" w:eastAsia="仿宋" w:cs="仿宋"/>
                <w:i w:val="0"/>
                <w:color w:val="333333"/>
                <w:kern w:val="0"/>
                <w:sz w:val="20"/>
                <w:szCs w:val="20"/>
                <w:u w:val="none"/>
                <w:lang w:val="en-US" w:eastAsia="zh-CN" w:bidi="ar"/>
              </w:rPr>
              <w:t>无</w:t>
            </w:r>
          </w:p>
        </w:tc>
      </w:tr>
    </w:tbl>
    <w:p/>
    <w:p/>
    <w:p>
      <w:bookmarkStart w:id="0" w:name="_GoBack"/>
      <w:bookmarkEnd w:id="0"/>
    </w:p>
    <w:sectPr>
      <w:pgSz w:w="16838" w:h="11906" w:orient="landscape"/>
      <w:pgMar w:top="1803" w:right="1440" w:bottom="1803" w:left="144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20F7F"/>
    <w:rsid w:val="0010217E"/>
    <w:rsid w:val="00114FB3"/>
    <w:rsid w:val="00232BB6"/>
    <w:rsid w:val="002F7E27"/>
    <w:rsid w:val="003B40E6"/>
    <w:rsid w:val="00907A8E"/>
    <w:rsid w:val="009C6A22"/>
    <w:rsid w:val="00A37D19"/>
    <w:rsid w:val="00B00F32"/>
    <w:rsid w:val="00BB7556"/>
    <w:rsid w:val="00C20F7F"/>
    <w:rsid w:val="00C75F1B"/>
    <w:rsid w:val="00DC7648"/>
    <w:rsid w:val="00E36392"/>
    <w:rsid w:val="00FD46AE"/>
    <w:rsid w:val="107D034D"/>
    <w:rsid w:val="16C967F1"/>
    <w:rsid w:val="1EAA7C39"/>
    <w:rsid w:val="1FC346D8"/>
    <w:rsid w:val="204D1D17"/>
    <w:rsid w:val="25CD3C3C"/>
    <w:rsid w:val="4A1B6644"/>
    <w:rsid w:val="4ECA2B1C"/>
    <w:rsid w:val="51B703BD"/>
    <w:rsid w:val="5E806C57"/>
    <w:rsid w:val="697F7AFA"/>
    <w:rsid w:val="6A174C40"/>
    <w:rsid w:val="7C610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 w:type="character" w:customStyle="1" w:styleId="7">
    <w:name w:val="页眉 Char"/>
    <w:basedOn w:val="5"/>
    <w:link w:val="3"/>
    <w:qFormat/>
    <w:uiPriority w:val="0"/>
    <w:rPr>
      <w:rFonts w:ascii="Calibri" w:hAnsi="Calibri"/>
      <w:kern w:val="2"/>
      <w:sz w:val="18"/>
      <w:szCs w:val="18"/>
    </w:rPr>
  </w:style>
  <w:style w:type="character" w:customStyle="1" w:styleId="8">
    <w:name w:val="font01"/>
    <w:basedOn w:val="5"/>
    <w:qFormat/>
    <w:uiPriority w:val="0"/>
    <w:rPr>
      <w:rFonts w:hint="eastAsia" w:ascii="微软雅黑" w:hAnsi="微软雅黑" w:eastAsia="微软雅黑" w:cs="微软雅黑"/>
      <w:color w:val="333333"/>
      <w:sz w:val="21"/>
      <w:szCs w:val="21"/>
      <w:u w:val="none"/>
    </w:rPr>
  </w:style>
  <w:style w:type="character" w:customStyle="1" w:styleId="9">
    <w:name w:val="font31"/>
    <w:basedOn w:val="5"/>
    <w:qFormat/>
    <w:uiPriority w:val="0"/>
    <w:rPr>
      <w:rFonts w:hint="default" w:ascii="仿宋_GB2312" w:eastAsia="仿宋_GB2312" w:cs="仿宋_GB2312"/>
      <w:color w:val="000000"/>
      <w:sz w:val="18"/>
      <w:szCs w:val="18"/>
      <w:u w:val="none"/>
    </w:rPr>
  </w:style>
  <w:style w:type="character" w:customStyle="1" w:styleId="10">
    <w:name w:val="font61"/>
    <w:basedOn w:val="5"/>
    <w:uiPriority w:val="0"/>
    <w:rPr>
      <w:rFonts w:hint="eastAsia" w:ascii="微软雅黑" w:hAnsi="微软雅黑" w:eastAsia="微软雅黑" w:cs="微软雅黑"/>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17</Pages>
  <Words>1744</Words>
  <Characters>9947</Characters>
  <Lines>82</Lines>
  <Paragraphs>23</Paragraphs>
  <TotalTime>0</TotalTime>
  <ScaleCrop>false</ScaleCrop>
  <LinksUpToDate>false</LinksUpToDate>
  <CharactersWithSpaces>11668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2018-11-01T07:06:00Z</dcterms:created>
  <dc:creator>安 西</dc:creator>
  <cp:lastModifiedBy>Administrator</cp:lastModifiedBy>
  <dcterms:modified xsi:type="dcterms:W3CDTF">2020-11-09T09:12:04Z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