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hint="eastAsia" w:ascii="仿宋_GB2312" w:hAnsi="仿宋" w:eastAsia="仿宋_GB2312" w:cs="仿宋_GB2312"/>
          <w:color w:val="000000"/>
          <w:sz w:val="32"/>
          <w:szCs w:val="32"/>
          <w:lang w:val="zh-CN"/>
        </w:rPr>
      </w:pPr>
    </w:p>
    <w:p>
      <w:pPr>
        <w:adjustRightInd w:val="0"/>
        <w:snapToGrid w:val="0"/>
        <w:spacing w:line="640" w:lineRule="exact"/>
        <w:jc w:val="center"/>
        <w:rPr>
          <w:rFonts w:ascii="仿宋_GB2312" w:hAnsi="仿宋" w:eastAsia="仿宋_GB2312"/>
          <w:color w:val="000000"/>
          <w:sz w:val="32"/>
          <w:szCs w:val="32"/>
          <w:highlight w:val="yellow"/>
        </w:rPr>
      </w:pPr>
      <w:r>
        <w:rPr>
          <w:rFonts w:hint="eastAsia" w:ascii="仿宋_GB2312" w:hAnsi="仿宋" w:eastAsia="仿宋_GB2312" w:cs="仿宋_GB2312"/>
          <w:color w:val="000000"/>
          <w:sz w:val="32"/>
          <w:szCs w:val="32"/>
          <w:lang w:val="zh-CN"/>
        </w:rPr>
        <w:t>永环评〔20</w:t>
      </w:r>
      <w:r>
        <w:rPr>
          <w:rFonts w:hint="eastAsia" w:ascii="仿宋_GB2312" w:hAnsi="仿宋" w:eastAsia="仿宋_GB2312" w:cs="仿宋_GB2312"/>
          <w:color w:val="000000"/>
          <w:sz w:val="32"/>
          <w:szCs w:val="32"/>
        </w:rPr>
        <w:t>2</w:t>
      </w:r>
      <w:r>
        <w:rPr>
          <w:rFonts w:hint="eastAsia" w:ascii="仿宋_GB2312" w:hAnsi="仿宋" w:eastAsia="仿宋_GB2312" w:cs="仿宋_GB2312"/>
          <w:color w:val="000000"/>
          <w:sz w:val="32"/>
          <w:szCs w:val="32"/>
          <w:lang w:val="en-US" w:eastAsia="zh-CN"/>
        </w:rPr>
        <w:t>6</w:t>
      </w: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val="en-US" w:eastAsia="zh-CN"/>
        </w:rPr>
        <w:t>7</w:t>
      </w:r>
      <w:r>
        <w:rPr>
          <w:rFonts w:hint="eastAsia" w:ascii="仿宋_GB2312" w:hAnsi="仿宋" w:eastAsia="仿宋_GB2312" w:cs="仿宋_GB2312"/>
          <w:color w:val="000000"/>
          <w:sz w:val="32"/>
          <w:szCs w:val="32"/>
          <w:lang w:val="zh-CN"/>
        </w:rPr>
        <w:t>号</w:t>
      </w:r>
    </w:p>
    <w:p>
      <w:pPr>
        <w:adjustRightInd w:val="0"/>
        <w:snapToGrid w:val="0"/>
        <w:spacing w:line="640" w:lineRule="exact"/>
        <w:rPr>
          <w:rFonts w:ascii="仿宋" w:hAnsi="仿宋" w:eastAsia="仿宋"/>
          <w:b/>
          <w:bCs/>
          <w:color w:val="000000"/>
          <w:sz w:val="32"/>
          <w:szCs w:val="32"/>
        </w:rPr>
      </w:pPr>
    </w:p>
    <w:p>
      <w:pPr>
        <w:spacing w:line="600" w:lineRule="exact"/>
        <w:jc w:val="center"/>
        <w:rPr>
          <w:rFonts w:ascii="方正小标宋简体" w:hAnsi="方正小标宋简体" w:eastAsia="方正小标宋简体" w:cs="方正小标宋简体"/>
          <w:color w:val="000000"/>
          <w:spacing w:val="-11"/>
          <w:sz w:val="44"/>
          <w:szCs w:val="44"/>
          <w:lang w:val="zh-CN"/>
        </w:rPr>
      </w:pPr>
      <w:r>
        <w:rPr>
          <w:rFonts w:hint="eastAsia" w:ascii="方正小标宋简体" w:hAnsi="方正小标宋简体" w:eastAsia="方正小标宋简体" w:cs="方正小标宋简体"/>
          <w:color w:val="000000"/>
          <w:spacing w:val="-11"/>
          <w:sz w:val="44"/>
          <w:szCs w:val="44"/>
          <w:lang w:val="zh-CN"/>
        </w:rPr>
        <w:t>关于道县审章塘乡大壮养殖</w:t>
      </w:r>
      <w:r>
        <w:rPr>
          <w:rFonts w:hint="eastAsia" w:ascii="方正小标宋简体" w:hAnsi="方正小标宋简体" w:eastAsia="方正小标宋简体" w:cs="方正小标宋简体"/>
          <w:color w:val="000000"/>
          <w:spacing w:val="-11"/>
          <w:sz w:val="44"/>
          <w:szCs w:val="44"/>
          <w:lang w:val="en-US" w:eastAsia="zh-CN"/>
        </w:rPr>
        <w:t>家庭</w:t>
      </w:r>
      <w:r>
        <w:rPr>
          <w:rFonts w:hint="eastAsia" w:ascii="方正小标宋简体" w:hAnsi="方正小标宋简体" w:eastAsia="方正小标宋简体" w:cs="方正小标宋简体"/>
          <w:color w:val="000000"/>
          <w:spacing w:val="-11"/>
          <w:sz w:val="44"/>
          <w:szCs w:val="44"/>
          <w:lang w:val="zh-CN"/>
        </w:rPr>
        <w:t>农场</w:t>
      </w:r>
      <w:r>
        <w:rPr>
          <w:rFonts w:hint="eastAsia" w:ascii="方正小标宋简体" w:hAnsi="方正小标宋简体" w:eastAsia="方正小标宋简体" w:cs="方正小标宋简体"/>
          <w:color w:val="000000"/>
          <w:spacing w:val="-11"/>
          <w:sz w:val="44"/>
          <w:szCs w:val="44"/>
          <w:lang w:val="en-US" w:eastAsia="zh-CN"/>
        </w:rPr>
        <w:t>生猪养殖项目</w:t>
      </w:r>
      <w:r>
        <w:rPr>
          <w:rFonts w:hint="eastAsia" w:ascii="方正小标宋简体" w:hAnsi="方正小标宋简体" w:eastAsia="方正小标宋简体" w:cs="方正小标宋简体"/>
          <w:color w:val="000000"/>
          <w:spacing w:val="-11"/>
          <w:sz w:val="44"/>
          <w:szCs w:val="44"/>
          <w:lang w:val="zh-CN"/>
        </w:rPr>
        <w:t>环境影响报告书的批复</w:t>
      </w:r>
    </w:p>
    <w:p>
      <w:pPr>
        <w:spacing w:line="600" w:lineRule="exact"/>
        <w:ind w:firstLine="642" w:firstLineChars="200"/>
        <w:rPr>
          <w:rFonts w:ascii="仿宋_GB2312" w:hAnsi="仿宋_GB2312" w:eastAsia="仿宋_GB2312" w:cs="仿宋_GB2312"/>
          <w:b/>
          <w:bCs/>
          <w:color w:val="000000"/>
          <w:sz w:val="32"/>
          <w:szCs w:val="32"/>
        </w:rPr>
      </w:pPr>
    </w:p>
    <w:p>
      <w:pPr>
        <w:snapToGrid w:val="0"/>
        <w:spacing w:line="60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道县审章塘乡大壮养殖家庭农场：</w:t>
      </w:r>
    </w:p>
    <w:p>
      <w:pPr>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你单位关于申请审批的报告和《道县审章塘乡大壮养殖家庭农场生猪养殖项目环境影响报告书》（报批稿）及相关附件收悉，经研究，现批复如下：</w:t>
      </w:r>
    </w:p>
    <w:p>
      <w:pPr>
        <w:spacing w:beforeLines="0" w:afterLines="0"/>
        <w:ind w:firstLine="640" w:firstLineChars="200"/>
        <w:jc w:val="both"/>
        <w:rPr>
          <w:rFonts w:hint="eastAsia" w:ascii="仿宋_GB2312" w:hAnsi="仿宋_GB2312" w:eastAsia="仿宋_GB2312" w:cs="仿宋_GB2312"/>
          <w:kern w:val="0"/>
          <w:sz w:val="32"/>
          <w:szCs w:val="32"/>
          <w:lang w:bidi="ar"/>
        </w:rPr>
      </w:pP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rPr>
        <w:t>道县审章塘乡大壮养殖家庭农场生猪养殖项目</w:t>
      </w:r>
      <w:r>
        <w:rPr>
          <w:rFonts w:hint="eastAsia" w:ascii="仿宋_GB2312" w:hAnsi="仿宋_GB2312" w:eastAsia="仿宋_GB2312" w:cs="仿宋_GB2312"/>
          <w:color w:val="auto"/>
          <w:sz w:val="32"/>
          <w:szCs w:val="32"/>
        </w:rPr>
        <w:t>位于</w:t>
      </w:r>
      <w:r>
        <w:rPr>
          <w:rFonts w:hint="eastAsia" w:ascii="仿宋_GB2312" w:hAnsi="仿宋_GB2312" w:eastAsia="仿宋_GB2312" w:cs="仿宋_GB2312"/>
          <w:color w:val="auto"/>
          <w:kern w:val="0"/>
          <w:sz w:val="32"/>
          <w:szCs w:val="32"/>
          <w:lang w:val="en-US" w:eastAsia="zh-CN" w:bidi="ar"/>
        </w:rPr>
        <w:t>永州市道县审章塘瑶族乡黄家村（东经111°38'35.546″，北纬25°21'13.654″），</w:t>
      </w:r>
      <w:r>
        <w:rPr>
          <w:rFonts w:hint="eastAsia" w:ascii="仿宋_GB2312" w:hAnsi="仿宋_GB2312" w:eastAsia="仿宋_GB2312" w:cs="仿宋_GB2312"/>
          <w:b w:val="0"/>
          <w:bCs w:val="0"/>
          <w:color w:val="auto"/>
          <w:kern w:val="0"/>
          <w:sz w:val="32"/>
          <w:szCs w:val="32"/>
          <w:lang w:bidi="ar"/>
        </w:rPr>
        <w:t>占地面积</w:t>
      </w:r>
      <w:r>
        <w:rPr>
          <w:rFonts w:hint="eastAsia" w:ascii="仿宋_GB2312" w:hAnsi="仿宋_GB2312" w:eastAsia="仿宋_GB2312" w:cs="仿宋_GB2312"/>
          <w:b w:val="0"/>
          <w:bCs w:val="0"/>
          <w:color w:val="auto"/>
          <w:kern w:val="0"/>
          <w:sz w:val="32"/>
          <w:szCs w:val="32"/>
          <w:lang w:val="en-US" w:eastAsia="zh-CN" w:bidi="ar"/>
        </w:rPr>
        <w:t>约</w:t>
      </w:r>
      <w:r>
        <w:rPr>
          <w:rFonts w:hint="eastAsia" w:ascii="仿宋_GB2312" w:hAnsi="仿宋_GB2312" w:eastAsia="仿宋_GB2312" w:cs="仿宋_GB2312"/>
          <w:b w:val="0"/>
          <w:bCs w:val="0"/>
          <w:color w:val="auto"/>
          <w:kern w:val="0"/>
          <w:sz w:val="32"/>
          <w:szCs w:val="32"/>
          <w:lang w:bidi="ar"/>
        </w:rPr>
        <w:t>23460.85m</w:t>
      </w:r>
      <w:r>
        <w:rPr>
          <w:rFonts w:hint="eastAsia" w:ascii="仿宋_GB2312" w:hAnsi="仿宋_GB2312" w:eastAsia="仿宋_GB2312" w:cs="仿宋_GB2312"/>
          <w:b w:val="0"/>
          <w:bCs w:val="0"/>
          <w:color w:val="auto"/>
          <w:kern w:val="0"/>
          <w:sz w:val="32"/>
          <w:szCs w:val="32"/>
          <w:vertAlign w:val="superscript"/>
          <w:lang w:bidi="ar"/>
        </w:rPr>
        <w:t>2</w:t>
      </w:r>
      <w:r>
        <w:rPr>
          <w:rFonts w:hint="eastAsia" w:ascii="仿宋_GB2312" w:hAnsi="仿宋_GB2312" w:eastAsia="仿宋_GB2312" w:cs="仿宋_GB2312"/>
          <w:b w:val="0"/>
          <w:bCs w:val="0"/>
          <w:color w:val="auto"/>
          <w:kern w:val="0"/>
          <w:sz w:val="32"/>
          <w:szCs w:val="32"/>
          <w:lang w:bidi="ar"/>
        </w:rPr>
        <w:t>，</w:t>
      </w:r>
      <w:r>
        <w:rPr>
          <w:rFonts w:hint="eastAsia" w:ascii="仿宋_GB2312" w:hAnsi="仿宋_GB2312" w:eastAsia="仿宋_GB2312" w:cs="仿宋_GB2312"/>
          <w:b w:val="0"/>
          <w:bCs w:val="0"/>
          <w:color w:val="auto"/>
          <w:kern w:val="0"/>
          <w:sz w:val="32"/>
          <w:szCs w:val="32"/>
          <w:lang w:val="en-US" w:eastAsia="zh-CN" w:bidi="ar"/>
        </w:rPr>
        <w:t>其中</w:t>
      </w:r>
      <w:r>
        <w:rPr>
          <w:rFonts w:hint="eastAsia" w:ascii="仿宋_GB2312" w:hAnsi="仿宋_GB2312" w:eastAsia="仿宋_GB2312" w:cs="仿宋_GB2312"/>
          <w:b w:val="0"/>
          <w:bCs w:val="0"/>
          <w:color w:val="auto"/>
          <w:kern w:val="0"/>
          <w:sz w:val="32"/>
          <w:szCs w:val="32"/>
          <w:lang w:bidi="ar"/>
        </w:rPr>
        <w:t>建筑面积14020m</w:t>
      </w:r>
      <w:r>
        <w:rPr>
          <w:rFonts w:hint="eastAsia" w:ascii="仿宋_GB2312" w:hAnsi="仿宋_GB2312" w:eastAsia="仿宋_GB2312" w:cs="仿宋_GB2312"/>
          <w:b w:val="0"/>
          <w:bCs w:val="0"/>
          <w:color w:val="auto"/>
          <w:kern w:val="0"/>
          <w:sz w:val="32"/>
          <w:szCs w:val="32"/>
          <w:vertAlign w:val="superscript"/>
          <w:lang w:bidi="ar"/>
        </w:rPr>
        <w:t>2</w:t>
      </w:r>
      <w:r>
        <w:rPr>
          <w:rFonts w:hint="eastAsia" w:ascii="仿宋_GB2312" w:hAnsi="仿宋_GB2312" w:eastAsia="仿宋_GB2312" w:cs="仿宋_GB2312"/>
          <w:b w:val="0"/>
          <w:bCs w:val="0"/>
          <w:color w:val="auto"/>
          <w:kern w:val="0"/>
          <w:sz w:val="32"/>
          <w:szCs w:val="32"/>
          <w:lang w:bidi="ar"/>
        </w:rPr>
        <w:t>。主要建设内容包括</w:t>
      </w:r>
      <w:r>
        <w:rPr>
          <w:rFonts w:hint="eastAsia" w:ascii="仿宋_GB2312" w:hAnsi="仿宋_GB2312" w:eastAsia="仿宋_GB2312" w:cs="仿宋_GB2312"/>
          <w:b w:val="0"/>
          <w:bCs w:val="0"/>
          <w:color w:val="auto"/>
          <w:sz w:val="32"/>
          <w:szCs w:val="32"/>
          <w:highlight w:val="none"/>
          <w:lang w:val="en-US" w:eastAsia="zh-CN"/>
        </w:rPr>
        <w:t>主体工程（8栋猪舍）、公用工程、辅助工程、环保工程及消纳工程（含消纳管道、消纳基地等）等</w:t>
      </w:r>
      <w:r>
        <w:rPr>
          <w:rFonts w:hint="eastAsia" w:ascii="仿宋_GB2312" w:hAnsi="仿宋_GB2312" w:eastAsia="仿宋_GB2312" w:cs="仿宋_GB2312"/>
          <w:b w:val="0"/>
          <w:bCs w:val="0"/>
          <w:color w:val="auto"/>
          <w:kern w:val="0"/>
          <w:sz w:val="32"/>
          <w:szCs w:val="32"/>
          <w:lang w:bidi="ar"/>
        </w:rPr>
        <w:t>。项</w:t>
      </w:r>
      <w:r>
        <w:rPr>
          <w:rFonts w:hint="eastAsia" w:ascii="仿宋_GB2312" w:hAnsi="仿宋_GB2312" w:eastAsia="仿宋_GB2312" w:cs="仿宋_GB2312"/>
          <w:b w:val="0"/>
          <w:bCs w:val="0"/>
          <w:color w:val="auto"/>
          <w:kern w:val="0"/>
          <w:sz w:val="32"/>
          <w:szCs w:val="32"/>
          <w:lang w:val="en-US" w:eastAsia="zh-CN" w:bidi="ar"/>
        </w:rPr>
        <w:t>目通过外购断奶仔猪进行生猪养殖，</w:t>
      </w:r>
      <w:r>
        <w:rPr>
          <w:rFonts w:hint="eastAsia" w:ascii="仿宋_GB2312" w:hAnsi="仿宋_GB2312" w:eastAsia="仿宋_GB2312" w:cs="仿宋_GB2312"/>
          <w:b w:val="0"/>
          <w:bCs w:val="0"/>
          <w:color w:val="auto"/>
          <w:kern w:val="0"/>
          <w:sz w:val="32"/>
          <w:szCs w:val="32"/>
          <w:lang w:bidi="ar"/>
        </w:rPr>
        <w:t>建成后</w:t>
      </w:r>
      <w:r>
        <w:rPr>
          <w:rFonts w:hint="eastAsia" w:ascii="仿宋_GB2312" w:hAnsi="仿宋_GB2312" w:eastAsia="仿宋_GB2312" w:cs="仿宋_GB2312"/>
          <w:b w:val="0"/>
          <w:bCs w:val="0"/>
          <w:color w:val="auto"/>
          <w:kern w:val="0"/>
          <w:sz w:val="32"/>
          <w:szCs w:val="32"/>
          <w:lang w:val="en-US" w:eastAsia="zh-CN" w:bidi="ar"/>
        </w:rPr>
        <w:t>年存栏生猪8000头，</w:t>
      </w:r>
      <w:r>
        <w:rPr>
          <w:rFonts w:hint="eastAsia" w:ascii="仿宋_GB2312" w:hAnsi="仿宋_GB2312" w:eastAsia="仿宋_GB2312" w:cs="仿宋_GB2312"/>
          <w:b w:val="0"/>
          <w:bCs w:val="0"/>
          <w:color w:val="auto"/>
          <w:kern w:val="0"/>
          <w:sz w:val="32"/>
          <w:szCs w:val="32"/>
          <w:lang w:bidi="ar"/>
        </w:rPr>
        <w:t>年出栏生猪</w:t>
      </w:r>
      <w:r>
        <w:rPr>
          <w:rFonts w:hint="eastAsia" w:ascii="仿宋_GB2312" w:hAnsi="仿宋_GB2312" w:eastAsia="仿宋_GB2312" w:cs="仿宋_GB2312"/>
          <w:color w:val="auto"/>
          <w:kern w:val="0"/>
          <w:sz w:val="32"/>
          <w:szCs w:val="32"/>
          <w:lang w:bidi="ar"/>
        </w:rPr>
        <w:t>16000头。</w:t>
      </w:r>
      <w:r>
        <w:rPr>
          <w:rFonts w:hint="eastAsia" w:ascii="仿宋_GB2312" w:hAnsi="仿宋_GB2312" w:eastAsia="仿宋_GB2312" w:cs="仿宋_GB2312"/>
          <w:color w:val="auto"/>
          <w:kern w:val="0"/>
          <w:sz w:val="32"/>
          <w:szCs w:val="32"/>
          <w:lang w:val="en-US" w:eastAsia="zh-CN" w:bidi="ar"/>
        </w:rPr>
        <w:t>项目</w:t>
      </w:r>
      <w:r>
        <w:rPr>
          <w:rFonts w:hint="eastAsia" w:ascii="仿宋_GB2312" w:hAnsi="仿宋_GB2312" w:eastAsia="仿宋_GB2312" w:cs="仿宋_GB2312"/>
          <w:color w:val="auto"/>
          <w:kern w:val="0"/>
          <w:sz w:val="32"/>
          <w:szCs w:val="32"/>
          <w:lang w:bidi="ar"/>
        </w:rPr>
        <w:t>总投资1000万元，其中环保投资195.3万元，占总投资的19.53</w:t>
      </w:r>
      <w:r>
        <w:rPr>
          <w:rFonts w:hint="eastAsia" w:ascii="仿宋_GB2312" w:hAnsi="仿宋_GB2312" w:eastAsia="仿宋_GB2312" w:cs="仿宋_GB2312"/>
          <w:color w:val="auto"/>
          <w:kern w:val="0"/>
          <w:sz w:val="32"/>
          <w:szCs w:val="32"/>
          <w:lang w:val="en-US" w:eastAsia="zh-CN" w:bidi="ar"/>
        </w:rPr>
        <w:t>%。</w:t>
      </w:r>
    </w:p>
    <w:p>
      <w:pPr>
        <w:pStyle w:val="6"/>
        <w:spacing w:before="0" w:beforeLines="0" w:after="0" w:afterLines="0"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w:t>
      </w:r>
      <w:r>
        <w:rPr>
          <w:rFonts w:hint="eastAsia" w:ascii="仿宋_GB2312" w:hAnsi="仿宋_GB2312" w:eastAsia="仿宋_GB2312" w:cs="仿宋_GB2312"/>
          <w:color w:val="000000"/>
          <w:sz w:val="32"/>
          <w:szCs w:val="32"/>
          <w:lang w:val="en-US" w:eastAsia="zh-CN"/>
        </w:rPr>
        <w:t>永州</w:t>
      </w:r>
      <w:r>
        <w:rPr>
          <w:rFonts w:hint="eastAsia" w:ascii="仿宋_GB2312" w:hAnsi="仿宋_GB2312" w:eastAsia="仿宋_GB2312" w:cs="仿宋_GB2312"/>
          <w:color w:val="000000"/>
          <w:sz w:val="32"/>
          <w:szCs w:val="32"/>
        </w:rPr>
        <w:t>市农业农村局对道县审章塘乡大壮养殖家庭农场生猪养殖项目出具了</w:t>
      </w:r>
      <w:r>
        <w:rPr>
          <w:rFonts w:hint="eastAsia" w:ascii="仿宋_GB2312" w:hAnsi="仿宋_GB2312" w:eastAsia="仿宋_GB2312" w:cs="仿宋_GB2312"/>
          <w:color w:val="000000"/>
          <w:sz w:val="32"/>
          <w:szCs w:val="32"/>
          <w:lang w:val="en-US" w:eastAsia="zh-CN"/>
        </w:rPr>
        <w:t>审查</w:t>
      </w:r>
      <w:r>
        <w:rPr>
          <w:rFonts w:hint="eastAsia" w:ascii="仿宋_GB2312" w:hAnsi="仿宋_GB2312" w:eastAsia="仿宋_GB2312" w:cs="仿宋_GB2312"/>
          <w:color w:val="000000"/>
          <w:sz w:val="32"/>
          <w:szCs w:val="32"/>
        </w:rPr>
        <w:t>意见，并明确“该项目</w:t>
      </w:r>
      <w:r>
        <w:rPr>
          <w:rFonts w:hint="eastAsia" w:ascii="仿宋_GB2312" w:hAnsi="仿宋_GB2312" w:eastAsia="仿宋_GB2312" w:cs="仿宋_GB2312"/>
          <w:color w:val="000000"/>
          <w:sz w:val="32"/>
          <w:szCs w:val="32"/>
          <w:lang w:val="en-US" w:eastAsia="zh-CN"/>
        </w:rPr>
        <w:t>选址符合规划要求，粪污处理方案基本可行，并配备了足够的消纳土地”。</w:t>
      </w:r>
      <w:r>
        <w:rPr>
          <w:rFonts w:hint="eastAsia" w:ascii="仿宋_GB2312" w:hAnsi="仿宋_GB2312" w:eastAsia="仿宋_GB2312" w:cs="仿宋_GB2312"/>
          <w:color w:val="000000"/>
          <w:sz w:val="32"/>
          <w:szCs w:val="32"/>
        </w:rPr>
        <w:t>根据湖南佰纳环保科技有限公司</w:t>
      </w:r>
      <w:r>
        <w:rPr>
          <w:rFonts w:hint="eastAsia" w:ascii="仿宋_GB2312" w:hAnsi="仿宋_GB2312" w:eastAsia="仿宋_GB2312" w:cs="仿宋_GB2312"/>
          <w:color w:val="000000"/>
          <w:sz w:val="32"/>
          <w:szCs w:val="32"/>
          <w:lang w:eastAsia="zh-CN"/>
        </w:rPr>
        <w:t>编制的</w:t>
      </w:r>
      <w:r>
        <w:rPr>
          <w:rFonts w:hint="eastAsia" w:ascii="仿宋_GB2312" w:hAnsi="仿宋_GB2312" w:eastAsia="仿宋_GB2312" w:cs="仿宋_GB2312"/>
          <w:color w:val="000000"/>
          <w:sz w:val="32"/>
          <w:szCs w:val="32"/>
        </w:rPr>
        <w:t>环评报告书中的分析结论、专家评审意见</w:t>
      </w:r>
      <w:r>
        <w:rPr>
          <w:rFonts w:hint="eastAsia" w:ascii="仿宋_GB2312" w:hAnsi="仿宋_GB2312" w:eastAsia="仿宋_GB2312" w:cs="仿宋_GB2312"/>
          <w:color w:val="000000"/>
          <w:sz w:val="32"/>
          <w:szCs w:val="32"/>
          <w:lang w:eastAsia="zh-CN"/>
        </w:rPr>
        <w:t>、相关部门意见</w:t>
      </w:r>
      <w:r>
        <w:rPr>
          <w:rFonts w:hint="eastAsia" w:ascii="仿宋_GB2312" w:hAnsi="仿宋_GB2312" w:eastAsia="仿宋_GB2312" w:cs="仿宋_GB2312"/>
          <w:color w:val="000000"/>
          <w:sz w:val="32"/>
          <w:szCs w:val="32"/>
        </w:rPr>
        <w:t>和永州市生态环境局道县分局预审意见，在建设单位严格落实环评报告书和本批复提出的各项环保要求和环境影响减缓措施、环境风险防范措施、确保污染物达标排放的前提下，依据《中华人民共和国环境影响评价法》第二十二条等规定，我局原则同意该项目按环境影响报告书所列工程的地点、性质、规模、工艺、环境保护措施进行建设。</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三、建设单位在项目设计、建设和运行期间，必须全面落实环评报告书提出的各项污染防治和生态保护措施，并着重做好以下工作：</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1、相关政策要</w:t>
      </w:r>
      <w:r>
        <w:rPr>
          <w:rFonts w:hint="eastAsia" w:ascii="仿宋_GB2312" w:hAnsi="仿宋_GB2312" w:eastAsia="仿宋_GB2312" w:cs="仿宋_GB2312"/>
          <w:b w:val="0"/>
          <w:bCs w:val="0"/>
          <w:color w:val="000000"/>
          <w:sz w:val="32"/>
          <w:szCs w:val="32"/>
        </w:rPr>
        <w:t>求。</w:t>
      </w:r>
      <w:r>
        <w:rPr>
          <w:rFonts w:hint="eastAsia" w:ascii="仿宋_GB2312" w:hAnsi="仿宋_GB2312" w:eastAsia="仿宋_GB2312" w:cs="仿宋_GB2312"/>
          <w:b w:val="0"/>
          <w:bCs w:val="0"/>
          <w:color w:val="000000" w:themeColor="text1"/>
          <w:sz w:val="32"/>
          <w:szCs w:val="32"/>
          <w:lang w:val="zh-CN"/>
          <w14:textFill>
            <w14:solidFill>
              <w14:schemeClr w14:val="tx1"/>
            </w14:solidFill>
          </w14:textFill>
        </w:rPr>
        <w:t>项目</w:t>
      </w:r>
      <w:r>
        <w:rPr>
          <w:rFonts w:hint="eastAsia" w:ascii="仿宋_GB2312" w:hAnsi="仿宋_GB2312" w:eastAsia="仿宋_GB2312" w:cs="仿宋_GB2312"/>
          <w:b w:val="0"/>
          <w:bCs w:val="0"/>
          <w:color w:val="000000"/>
          <w:sz w:val="32"/>
          <w:szCs w:val="32"/>
        </w:rPr>
        <w:t>具体选址</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建设方案</w:t>
      </w:r>
      <w:r>
        <w:rPr>
          <w:rFonts w:hint="eastAsia" w:ascii="仿宋_GB2312" w:hAnsi="仿宋_GB2312" w:eastAsia="仿宋_GB2312" w:cs="仿宋_GB2312"/>
          <w:b w:val="0"/>
          <w:bCs w:val="0"/>
          <w:color w:val="000000" w:themeColor="text1"/>
          <w:sz w:val="32"/>
          <w:szCs w:val="32"/>
          <w14:textFill>
            <w14:solidFill>
              <w14:schemeClr w14:val="tx1"/>
            </w14:solidFill>
          </w14:textFill>
        </w:rPr>
        <w:t>需符合城乡规划、畜禽养殖规划</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及农业农村、自然资源与规划、林业等部门的要求</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b w:val="0"/>
          <w:bCs w:val="0"/>
          <w:color w:val="000000"/>
          <w:sz w:val="32"/>
          <w:szCs w:val="32"/>
        </w:rPr>
        <w:t>项</w:t>
      </w:r>
      <w:r>
        <w:rPr>
          <w:rFonts w:hint="eastAsia" w:ascii="仿宋_GB2312" w:hAnsi="仿宋_GB2312" w:eastAsia="仿宋_GB2312" w:cs="仿宋_GB2312"/>
          <w:color w:val="000000"/>
          <w:sz w:val="32"/>
          <w:szCs w:val="32"/>
        </w:rPr>
        <w:t>目应采用国内外先进的处理工艺，所选用的设备应符合国家产业政策及质量安全要求，选用工艺成熟、可靠的污染防治技术和设备，确保各项污染物达标排放。严格落实《湖南省生态环境厅 湖南省农业农村厅 关于进一步加强畜禽粪污综合利用和监督管理工作的通知》（湘环发〔2025〕42号）要求，养殖生产区和粪污处理区实施物理隔离</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在项目建设过程中接受农业农村部门对其粪污综合利用方案可行性、粪污处理设施与养殖量匹配性的指导。</w:t>
      </w:r>
    </w:p>
    <w:p>
      <w:pPr>
        <w:keepNext w:val="0"/>
        <w:keepLines w:val="0"/>
        <w:widowControl/>
        <w:suppressLineNumbers w:val="0"/>
        <w:ind w:firstLine="640" w:firstLineChars="200"/>
        <w:jc w:val="both"/>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2、废水污染防治。按照“雨污分流、清污分流、污污分流”原则，建设厂区排水系统及废水处理设施，优化废水处理工艺。营运期废水</w:t>
      </w:r>
      <w:r>
        <w:rPr>
          <w:rFonts w:hint="eastAsia" w:ascii="仿宋_GB2312" w:hAnsi="仿宋_GB2312" w:eastAsia="仿宋_GB2312" w:cs="仿宋_GB2312"/>
          <w:color w:val="000000"/>
          <w:sz w:val="32"/>
          <w:szCs w:val="32"/>
          <w:lang w:val="en-US" w:eastAsia="zh-CN"/>
        </w:rPr>
        <w:t>包括</w:t>
      </w:r>
      <w:r>
        <w:rPr>
          <w:rFonts w:hint="eastAsia" w:ascii="仿宋_GB2312" w:hAnsi="仿宋_GB2312" w:eastAsia="仿宋_GB2312" w:cs="仿宋_GB2312"/>
          <w:color w:val="000000"/>
          <w:sz w:val="32"/>
          <w:szCs w:val="32"/>
        </w:rPr>
        <w:t>养殖废水以及生活污水。其中，养殖废水主要为猪只尿液、猪舍冲洗废水等。生活污水</w:t>
      </w:r>
      <w:r>
        <w:rPr>
          <w:rFonts w:hint="eastAsia" w:ascii="仿宋_GB2312" w:hAnsi="仿宋_GB2312" w:eastAsia="仿宋_GB2312" w:cs="仿宋_GB2312"/>
          <w:color w:val="000000"/>
          <w:sz w:val="32"/>
          <w:szCs w:val="32"/>
          <w:lang w:val="en-US" w:eastAsia="zh-CN"/>
        </w:rPr>
        <w:t>经</w:t>
      </w:r>
      <w:r>
        <w:rPr>
          <w:rFonts w:hint="eastAsia" w:ascii="仿宋_GB2312" w:hAnsi="仿宋_GB2312" w:eastAsia="仿宋_GB2312" w:cs="仿宋_GB2312"/>
          <w:color w:val="000000"/>
          <w:sz w:val="32"/>
          <w:szCs w:val="32"/>
        </w:rPr>
        <w:t>化粪池预处理</w:t>
      </w:r>
      <w:r>
        <w:rPr>
          <w:rFonts w:hint="eastAsia" w:ascii="仿宋_GB2312" w:hAnsi="仿宋_GB2312" w:eastAsia="仿宋_GB2312" w:cs="仿宋_GB2312"/>
          <w:color w:val="000000"/>
          <w:sz w:val="32"/>
          <w:szCs w:val="32"/>
          <w:lang w:val="en-US" w:eastAsia="zh-CN"/>
        </w:rPr>
        <w:t>后</w:t>
      </w:r>
      <w:r>
        <w:rPr>
          <w:rFonts w:hint="eastAsia" w:ascii="仿宋_GB2312" w:hAnsi="仿宋_GB2312" w:eastAsia="仿宋_GB2312" w:cs="仿宋_GB2312"/>
          <w:color w:val="000000"/>
          <w:sz w:val="32"/>
          <w:szCs w:val="32"/>
        </w:rPr>
        <w:t>与养殖废水汇集后进入自建污水处理站（处理能力</w:t>
      </w:r>
      <w:r>
        <w:rPr>
          <w:rFonts w:hint="eastAsia" w:ascii="仿宋_GB2312" w:hAnsi="仿宋_GB2312" w:eastAsia="仿宋_GB2312" w:cs="仿宋_GB2312"/>
          <w:color w:val="000000"/>
          <w:sz w:val="32"/>
          <w:szCs w:val="32"/>
          <w:lang w:val="en-US" w:eastAsia="zh-CN"/>
        </w:rPr>
        <w:t>40</w:t>
      </w:r>
      <w:r>
        <w:rPr>
          <w:rFonts w:hint="eastAsia" w:ascii="仿宋_GB2312" w:hAnsi="仿宋_GB2312" w:eastAsia="仿宋_GB2312" w:cs="仿宋_GB2312"/>
          <w:color w:val="000000"/>
          <w:sz w:val="32"/>
          <w:szCs w:val="32"/>
        </w:rPr>
        <w:t>m</w:t>
      </w:r>
      <w:r>
        <w:rPr>
          <w:rFonts w:hint="eastAsia" w:ascii="仿宋_GB2312" w:hAnsi="仿宋_GB2312" w:eastAsia="仿宋_GB2312" w:cs="仿宋_GB2312"/>
          <w:color w:val="000000"/>
          <w:sz w:val="32"/>
          <w:szCs w:val="32"/>
          <w:vertAlign w:val="superscript"/>
        </w:rPr>
        <w:t>3</w:t>
      </w:r>
      <w:r>
        <w:rPr>
          <w:rFonts w:hint="eastAsia" w:ascii="仿宋_GB2312" w:hAnsi="仿宋_GB2312" w:eastAsia="仿宋_GB2312" w:cs="仿宋_GB2312"/>
          <w:color w:val="000000"/>
          <w:sz w:val="32"/>
          <w:szCs w:val="32"/>
        </w:rPr>
        <w:t>/d）</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采用</w:t>
      </w:r>
      <w:r>
        <w:rPr>
          <w:rFonts w:hint="eastAsia" w:ascii="仿宋_GB2312" w:hAnsi="仿宋_GB2312" w:eastAsia="仿宋_GB2312" w:cs="仿宋_GB2312"/>
          <w:color w:val="000000"/>
          <w:sz w:val="32"/>
          <w:szCs w:val="32"/>
          <w:lang w:eastAsia="zh-CN"/>
        </w:rPr>
        <w:t>“集污池+固液分离机+调节池+黑膜沼气池+初沉池+两级 A/O 池+二沉池+消毒池+氧化塘”</w:t>
      </w:r>
      <w:r>
        <w:rPr>
          <w:rFonts w:hint="eastAsia" w:ascii="仿宋_GB2312" w:hAnsi="仿宋_GB2312" w:eastAsia="仿宋_GB2312" w:cs="仿宋_GB2312"/>
          <w:color w:val="000000"/>
          <w:sz w:val="32"/>
          <w:szCs w:val="32"/>
        </w:rPr>
        <w:t>工艺处理达到《畜禽养殖业污染物排放标准》（GB18596-2001）和《农田灌溉水质标准》（GB5084-2021）旱作类标准中较严标准后全部用于配套消纳种植基地灌溉，不得外排</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配套的废水灌溉消纳具体实施以农业农村部门审查通过的《</w:t>
      </w:r>
      <w:r>
        <w:rPr>
          <w:rFonts w:hint="eastAsia" w:ascii="仿宋_GB2312" w:hAnsi="仿宋_GB2312" w:eastAsia="仿宋_GB2312" w:cs="仿宋_GB2312"/>
          <w:color w:val="000000"/>
          <w:sz w:val="32"/>
          <w:szCs w:val="32"/>
        </w:rPr>
        <w:t>道县审章塘乡大壮养殖家庭农场生猪养殖项目</w:t>
      </w:r>
      <w:r>
        <w:rPr>
          <w:rFonts w:hint="eastAsia" w:ascii="仿宋_GB2312" w:hAnsi="仿宋_GB2312" w:eastAsia="仿宋_GB2312" w:cs="仿宋_GB2312"/>
          <w:color w:val="000000"/>
          <w:sz w:val="32"/>
          <w:szCs w:val="32"/>
          <w:lang w:val="en-US" w:eastAsia="zh-CN"/>
        </w:rPr>
        <w:t>粪污综合利用方案》为准。</w:t>
      </w:r>
    </w:p>
    <w:p>
      <w:pPr>
        <w:spacing w:line="60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3、废气污染防治。加强各环节废气污染防治，确保</w:t>
      </w:r>
      <w:r>
        <w:rPr>
          <w:rFonts w:hint="eastAsia" w:ascii="仿宋_GB2312" w:hAnsi="仿宋_GB2312" w:eastAsia="仿宋_GB2312" w:cs="仿宋_GB2312"/>
          <w:color w:val="000000"/>
          <w:sz w:val="32"/>
          <w:szCs w:val="32"/>
          <w:lang w:val="en-US" w:eastAsia="zh-CN"/>
        </w:rPr>
        <w:t>各项</w:t>
      </w:r>
      <w:r>
        <w:rPr>
          <w:rFonts w:hint="eastAsia" w:ascii="仿宋_GB2312" w:hAnsi="仿宋_GB2312" w:eastAsia="仿宋_GB2312" w:cs="仿宋_GB2312"/>
          <w:color w:val="000000"/>
          <w:sz w:val="32"/>
          <w:szCs w:val="32"/>
        </w:rPr>
        <w:t>大气污染物达标排放。施工期通过采取设置车辆冲洗平台、定期洒水、覆盖等措施减少粉尘、扬尘的产生。</w:t>
      </w:r>
      <w:r>
        <w:rPr>
          <w:rFonts w:hint="eastAsia" w:ascii="仿宋_GB2312" w:hAnsi="仿宋_GB2312" w:eastAsia="仿宋_GB2312" w:cs="仿宋_GB2312"/>
          <w:color w:val="000000"/>
          <w:sz w:val="32"/>
          <w:szCs w:val="32"/>
          <w:lang w:val="en-US" w:eastAsia="zh-CN"/>
        </w:rPr>
        <w:t>运营期废气主要为猪舍、污水处理站、粪渣暂存间产生的恶臭。猪舍恶臭通过添加EM制剂科学喂养</w:t>
      </w:r>
      <w:r>
        <w:rPr>
          <w:rFonts w:hint="eastAsia" w:ascii="仿宋_GB2312" w:hAnsi="仿宋_GB2312" w:eastAsia="仿宋_GB2312" w:cs="仿宋_GB2312"/>
          <w:color w:val="auto"/>
          <w:sz w:val="32"/>
          <w:szCs w:val="32"/>
          <w:lang w:val="en-US" w:eastAsia="zh-CN"/>
        </w:rPr>
        <w:t>、猪粪日产日清及时消毒、排风口设置喷淋和除臭滤网组成的除臭墙、</w:t>
      </w:r>
      <w:r>
        <w:rPr>
          <w:rFonts w:hint="eastAsia" w:ascii="仿宋_GB2312" w:hAnsi="仿宋_GB2312" w:eastAsia="仿宋_GB2312" w:cs="仿宋_GB2312"/>
          <w:color w:val="000000"/>
          <w:sz w:val="32"/>
          <w:szCs w:val="32"/>
          <w:lang w:val="en-US" w:eastAsia="zh-CN"/>
        </w:rPr>
        <w:t>喷洒除臭剂及猪舍周边种植绿化等措施；污水处理站废气通过对粪污收集池、厌氧反应池进行加盖，并定期喷生物除臭剂及周边绿化等措施；粪渣暂存间采用封闭车间，仅保留车辆进出口，定期喷生物除臭剂等措施，确保企业边界氨、硫化氢满足《恶臭污染物排放标准》（GB14554-93）表1新扩改建二级标准要求，臭气</w:t>
      </w:r>
      <w:r>
        <w:rPr>
          <w:rFonts w:hint="eastAsia" w:ascii="仿宋_GB2312" w:hAnsi="仿宋_GB2312" w:eastAsia="仿宋_GB2312" w:cs="仿宋_GB2312"/>
          <w:b w:val="0"/>
          <w:bCs w:val="0"/>
          <w:color w:val="auto"/>
          <w:sz w:val="32"/>
          <w:szCs w:val="32"/>
          <w:lang w:val="en-US" w:eastAsia="zh-CN"/>
        </w:rPr>
        <w:t>浓度满足《畜禽养殖业污染物排放标准》（GB18596-2001）表7限值和《</w:t>
      </w:r>
      <w:r>
        <w:rPr>
          <w:rFonts w:ascii="仿宋_GB2312" w:hAnsi="仿宋_GB2312" w:eastAsia="仿宋_GB2312" w:cs="仿宋_GB2312"/>
          <w:b w:val="0"/>
          <w:bCs w:val="0"/>
          <w:color w:val="auto"/>
          <w:sz w:val="32"/>
          <w:szCs w:val="32"/>
        </w:rPr>
        <w:t>恶臭污染物排放标准》（GB14554-93）</w:t>
      </w:r>
      <w:r>
        <w:rPr>
          <w:rFonts w:hint="eastAsia" w:ascii="仿宋_GB2312" w:hAnsi="仿宋_GB2312" w:eastAsia="仿宋_GB2312" w:cs="仿宋_GB2312"/>
          <w:b w:val="0"/>
          <w:bCs w:val="0"/>
          <w:color w:val="auto"/>
          <w:sz w:val="32"/>
          <w:szCs w:val="32"/>
        </w:rPr>
        <w:t>表1中二级新扩改建标准值中较严值</w:t>
      </w:r>
      <w:r>
        <w:rPr>
          <w:rFonts w:hint="eastAsia" w:ascii="仿宋_GB2312" w:hAnsi="仿宋_GB2312" w:eastAsia="仿宋_GB2312" w:cs="仿宋_GB2312"/>
          <w:b w:val="0"/>
          <w:bCs w:val="0"/>
          <w:color w:val="auto"/>
          <w:sz w:val="32"/>
          <w:szCs w:val="32"/>
          <w:lang w:val="en-US" w:eastAsia="zh-CN"/>
        </w:rPr>
        <w:t>。产生的沼气经脱硫后暂存沼气柜，定期经火炬燃烧，沼气燃烧废气和备用柴油发电机烟气满足《大</w:t>
      </w:r>
      <w:r>
        <w:rPr>
          <w:rFonts w:hint="eastAsia" w:ascii="仿宋_GB2312" w:hAnsi="仿宋_GB2312" w:eastAsia="仿宋_GB2312" w:cs="仿宋_GB2312"/>
          <w:color w:val="000000"/>
          <w:sz w:val="32"/>
          <w:szCs w:val="32"/>
          <w:lang w:val="en-US" w:eastAsia="zh-CN"/>
        </w:rPr>
        <w:t>气污染物综合排放标准》（GB16297-1996）表2中无组织排放监控浓度限值要求。食堂油烟废气执行《饮食业油烟排放标准（试行）》（GB18483-2001）浓度限值。</w:t>
      </w:r>
    </w:p>
    <w:p>
      <w:pPr>
        <w:spacing w:line="600" w:lineRule="exact"/>
        <w:ind w:firstLine="640" w:firstLineChars="200"/>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4、</w:t>
      </w:r>
      <w:r>
        <w:rPr>
          <w:rFonts w:hint="eastAsia" w:ascii="仿宋_GB2312" w:eastAsia="仿宋_GB2312"/>
          <w:b w:val="0"/>
          <w:bCs w:val="0"/>
          <w:color w:val="000000" w:themeColor="text1"/>
          <w:sz w:val="32"/>
          <w:szCs w:val="32"/>
          <w14:textFill>
            <w14:solidFill>
              <w14:schemeClr w14:val="tx1"/>
            </w14:solidFill>
          </w14:textFill>
        </w:rPr>
        <w:t>落实土壤及地下水防治要求。</w:t>
      </w:r>
      <w:r>
        <w:rPr>
          <w:rFonts w:hint="eastAsia" w:ascii="仿宋" w:hAnsi="仿宋" w:eastAsia="仿宋" w:cs="仿宋_GB2312"/>
          <w:b w:val="0"/>
          <w:bCs w:val="0"/>
          <w:color w:val="000000" w:themeColor="text1"/>
          <w:sz w:val="32"/>
          <w:szCs w:val="32"/>
          <w14:textFill>
            <w14:solidFill>
              <w14:schemeClr w14:val="tx1"/>
            </w14:solidFill>
          </w14:textFill>
        </w:rPr>
        <w:t>按照“源头控制、分区防治、污染监控”原则做好地下水和土壤污染防治工作。</w:t>
      </w:r>
      <w:r>
        <w:rPr>
          <w:rFonts w:ascii="仿宋_GB2312" w:eastAsia="仿宋_GB2312"/>
          <w:b w:val="0"/>
          <w:bCs w:val="0"/>
          <w:color w:val="000000" w:themeColor="text1"/>
          <w:sz w:val="32"/>
          <w:szCs w:val="32"/>
          <w14:textFill>
            <w14:solidFill>
              <w14:schemeClr w14:val="tx1"/>
            </w14:solidFill>
          </w14:textFill>
        </w:rPr>
        <w:t>严格落实报告</w:t>
      </w:r>
      <w:r>
        <w:rPr>
          <w:rFonts w:hint="eastAsia" w:ascii="仿宋_GB2312" w:eastAsia="仿宋_GB2312"/>
          <w:b w:val="0"/>
          <w:bCs w:val="0"/>
          <w:color w:val="000000" w:themeColor="text1"/>
          <w:sz w:val="32"/>
          <w:szCs w:val="32"/>
          <w14:textFill>
            <w14:solidFill>
              <w14:schemeClr w14:val="tx1"/>
            </w14:solidFill>
          </w14:textFill>
        </w:rPr>
        <w:t>书中</w:t>
      </w:r>
      <w:r>
        <w:rPr>
          <w:rFonts w:ascii="仿宋_GB2312" w:eastAsia="仿宋_GB2312"/>
          <w:b w:val="0"/>
          <w:bCs w:val="0"/>
          <w:color w:val="000000" w:themeColor="text1"/>
          <w:sz w:val="32"/>
          <w:szCs w:val="32"/>
          <w14:textFill>
            <w14:solidFill>
              <w14:schemeClr w14:val="tx1"/>
            </w14:solidFill>
          </w14:textFill>
        </w:rPr>
        <w:t>提出的分区防渗措施，</w:t>
      </w:r>
      <w:r>
        <w:rPr>
          <w:rFonts w:hint="eastAsia" w:ascii="仿宋_GB2312" w:hAnsi="仿宋_GB2312" w:eastAsia="仿宋_GB2312" w:cs="仿宋_GB2312"/>
          <w:b w:val="0"/>
          <w:bCs w:val="0"/>
          <w:color w:val="000000" w:themeColor="text1"/>
          <w:sz w:val="32"/>
          <w:szCs w:val="32"/>
          <w14:textFill>
            <w14:solidFill>
              <w14:schemeClr w14:val="tx1"/>
            </w14:solidFill>
          </w14:textFill>
        </w:rPr>
        <w:t>对</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猪舍、污水处理站、危废暂存间等</w:t>
      </w:r>
      <w:r>
        <w:rPr>
          <w:rFonts w:hint="eastAsia" w:ascii="仿宋_GB2312" w:hAnsi="仿宋_GB2312" w:eastAsia="仿宋_GB2312" w:cs="仿宋_GB2312"/>
          <w:b w:val="0"/>
          <w:bCs w:val="0"/>
          <w:color w:val="000000" w:themeColor="text1"/>
          <w:sz w:val="32"/>
          <w:szCs w:val="32"/>
          <w14:textFill>
            <w14:solidFill>
              <w14:schemeClr w14:val="tx1"/>
            </w14:solidFill>
          </w14:textFill>
        </w:rPr>
        <w:t>等进行防渗处理。密切关注土壤污染状况和周边地下水</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（特别是饮用地下水）</w:t>
      </w:r>
      <w:r>
        <w:rPr>
          <w:rFonts w:hint="eastAsia" w:ascii="仿宋_GB2312" w:hAnsi="仿宋_GB2312" w:eastAsia="仿宋_GB2312" w:cs="仿宋_GB2312"/>
          <w:b w:val="0"/>
          <w:bCs w:val="0"/>
          <w:color w:val="000000" w:themeColor="text1"/>
          <w:sz w:val="32"/>
          <w:szCs w:val="32"/>
          <w14:textFill>
            <w14:solidFill>
              <w14:schemeClr w14:val="tx1"/>
            </w14:solidFill>
          </w14:textFill>
        </w:rPr>
        <w:t>的水质变化，若因项目的实施，对土壤和地下水产生影响，立即采取措施，消除影响，</w:t>
      </w:r>
      <w:r>
        <w:rPr>
          <w:rFonts w:hint="eastAsia" w:ascii="仿宋_GB2312" w:eastAsia="仿宋_GB2312"/>
          <w:b w:val="0"/>
          <w:bCs w:val="0"/>
          <w:color w:val="000000" w:themeColor="text1"/>
          <w:sz w:val="32"/>
          <w:szCs w:val="32"/>
          <w14:textFill>
            <w14:solidFill>
              <w14:schemeClr w14:val="tx1"/>
            </w14:solidFill>
          </w14:textFill>
        </w:rPr>
        <w:t>并及时上报当地生态环境主管部门。</w:t>
      </w:r>
    </w:p>
    <w:p>
      <w:pPr>
        <w:spacing w:line="60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、噪声污染防治。优化设备选型，合理布置高噪声设备并采取隔声、消声、减振措施</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厂界四周种植绿化，以加强对噪声的阻隔效果。</w:t>
      </w:r>
      <w:r>
        <w:rPr>
          <w:rFonts w:hint="eastAsia" w:ascii="仿宋_GB2312" w:hAnsi="仿宋_GB2312" w:eastAsia="仿宋_GB2312" w:cs="仿宋_GB2312"/>
          <w:b w:val="0"/>
          <w:bCs w:val="0"/>
          <w:color w:val="000000"/>
          <w:sz w:val="32"/>
          <w:szCs w:val="32"/>
        </w:rPr>
        <w:t>确保厂界噪声达到《工业企业厂界环境噪声排放标准》（GB12348-2008）</w:t>
      </w:r>
      <w:r>
        <w:rPr>
          <w:rFonts w:hint="eastAsia" w:ascii="仿宋_GB2312" w:hAnsi="仿宋_GB2312" w:eastAsia="仿宋_GB2312" w:cs="仿宋_GB2312"/>
          <w:b w:val="0"/>
          <w:bCs w:val="0"/>
          <w:color w:val="000000"/>
          <w:sz w:val="32"/>
          <w:szCs w:val="32"/>
          <w:lang w:val="en-US" w:eastAsia="zh-CN"/>
        </w:rPr>
        <w:t>限值</w:t>
      </w:r>
      <w:r>
        <w:rPr>
          <w:rFonts w:hint="eastAsia" w:ascii="仿宋_GB2312" w:hAnsi="仿宋_GB2312" w:eastAsia="仿宋_GB2312" w:cs="仿宋_GB2312"/>
          <w:b w:val="0"/>
          <w:bCs w:val="0"/>
          <w:color w:val="000000"/>
          <w:sz w:val="32"/>
          <w:szCs w:val="32"/>
        </w:rPr>
        <w:t>。</w:t>
      </w:r>
    </w:p>
    <w:p>
      <w:pPr>
        <w:adjustRightInd w:val="0"/>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、固体废物处置。按照“减量化、资源化、无害化”原则，对固体废物进行分类收集、处理和处置，并确保不造成二次污染。</w:t>
      </w:r>
      <w:r>
        <w:rPr>
          <w:rFonts w:hint="eastAsia" w:ascii="仿宋_GB2312" w:hAnsi="仿宋_GB2312" w:eastAsia="仿宋_GB2312" w:cs="仿宋_GB2312"/>
          <w:color w:val="000000"/>
          <w:sz w:val="32"/>
          <w:szCs w:val="32"/>
          <w:lang w:val="en-US" w:eastAsia="zh-CN"/>
        </w:rPr>
        <w:t>固体粪污</w:t>
      </w:r>
      <w:r>
        <w:rPr>
          <w:rFonts w:hint="eastAsia" w:ascii="仿宋_GB2312" w:hAnsi="仿宋_GB2312" w:eastAsia="仿宋_GB2312" w:cs="仿宋_GB2312"/>
          <w:color w:val="000000"/>
          <w:sz w:val="32"/>
          <w:szCs w:val="32"/>
        </w:rPr>
        <w:t>、废水处理系统污泥、沼渣等定期清运至</w:t>
      </w:r>
      <w:r>
        <w:rPr>
          <w:rFonts w:hint="eastAsia" w:ascii="仿宋_GB2312" w:hAnsi="仿宋_GB2312" w:eastAsia="仿宋_GB2312" w:cs="仿宋_GB2312"/>
          <w:color w:val="000000"/>
          <w:sz w:val="32"/>
          <w:szCs w:val="32"/>
          <w:lang w:val="en-US" w:eastAsia="zh-CN"/>
        </w:rPr>
        <w:t>猪粪</w:t>
      </w:r>
      <w:r>
        <w:rPr>
          <w:rFonts w:hint="eastAsia" w:ascii="仿宋_GB2312" w:hAnsi="仿宋_GB2312" w:eastAsia="仿宋_GB2312" w:cs="仿宋_GB2312"/>
          <w:color w:val="000000"/>
          <w:sz w:val="32"/>
          <w:szCs w:val="32"/>
        </w:rPr>
        <w:t>暂存间暂存后外售当地有机肥生产企业；</w:t>
      </w:r>
      <w:r>
        <w:rPr>
          <w:rFonts w:hint="eastAsia" w:ascii="仿宋_GB2312" w:hAnsi="仿宋_GB2312" w:eastAsia="仿宋_GB2312" w:cs="仿宋_GB2312"/>
          <w:b w:val="0"/>
          <w:bCs w:val="0"/>
          <w:color w:val="auto"/>
          <w:sz w:val="32"/>
          <w:szCs w:val="32"/>
        </w:rPr>
        <w:t>病死猪尸体暂存于厂区冷冻库，定期送至</w:t>
      </w:r>
      <w:r>
        <w:rPr>
          <w:rFonts w:hint="eastAsia" w:ascii="仿宋_GB2312" w:hAnsi="仿宋_GB2312" w:eastAsia="仿宋_GB2312" w:cs="仿宋_GB2312"/>
          <w:b w:val="0"/>
          <w:bCs w:val="0"/>
          <w:color w:val="auto"/>
          <w:sz w:val="32"/>
          <w:szCs w:val="32"/>
          <w:lang w:val="en-US" w:eastAsia="zh-CN"/>
        </w:rPr>
        <w:t>有资质单位无害化</w:t>
      </w:r>
      <w:r>
        <w:rPr>
          <w:rFonts w:hint="eastAsia" w:ascii="仿宋_GB2312" w:hAnsi="仿宋_GB2312" w:eastAsia="仿宋_GB2312" w:cs="仿宋_GB2312"/>
          <w:b w:val="0"/>
          <w:bCs w:val="0"/>
          <w:color w:val="auto"/>
          <w:sz w:val="32"/>
          <w:szCs w:val="32"/>
        </w:rPr>
        <w:t>处置</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病死</w:t>
      </w:r>
      <w:r>
        <w:rPr>
          <w:rFonts w:hint="eastAsia" w:ascii="仿宋_GB2312" w:hAnsi="仿宋_GB2312" w:eastAsia="仿宋_GB2312" w:cs="仿宋_GB2312"/>
          <w:b w:val="0"/>
          <w:bCs w:val="0"/>
          <w:color w:val="auto"/>
          <w:sz w:val="32"/>
          <w:szCs w:val="32"/>
          <w:lang w:eastAsia="zh-CN"/>
        </w:rPr>
        <w:t>猪</w:t>
      </w:r>
      <w:r>
        <w:rPr>
          <w:rFonts w:hint="eastAsia" w:ascii="仿宋_GB2312" w:hAnsi="仿宋_GB2312" w:eastAsia="仿宋_GB2312" w:cs="仿宋_GB2312"/>
          <w:b w:val="0"/>
          <w:bCs w:val="0"/>
          <w:color w:val="auto"/>
          <w:sz w:val="32"/>
          <w:szCs w:val="32"/>
        </w:rPr>
        <w:t>尸体执行《病死畜禽和病害畜禽产品无害化处理管理办法》、《病死及病害动物无害化处理技术规范》要求；</w:t>
      </w:r>
      <w:r>
        <w:rPr>
          <w:rFonts w:hint="eastAsia" w:ascii="仿宋_GB2312" w:hAnsi="仿宋_GB2312" w:eastAsia="仿宋_GB2312" w:cs="仿宋_GB2312"/>
          <w:color w:val="000000"/>
          <w:sz w:val="32"/>
          <w:szCs w:val="32"/>
          <w:highlight w:val="none"/>
          <w:lang w:eastAsia="zh-CN"/>
        </w:rPr>
        <w:t>一般固废和危险废物在厂内贮存应分别满足《一般工业固体废物贮存和填埋控制标准》（</w:t>
      </w:r>
      <w:r>
        <w:rPr>
          <w:rFonts w:hint="eastAsia" w:ascii="仿宋_GB2312" w:hAnsi="仿宋_GB2312" w:eastAsia="仿宋_GB2312" w:cs="仿宋_GB2312"/>
          <w:color w:val="000000"/>
          <w:sz w:val="32"/>
          <w:szCs w:val="32"/>
          <w:highlight w:val="none"/>
          <w:lang w:val="en-US" w:eastAsia="zh-CN"/>
        </w:rPr>
        <w:t>GB18599-2020</w:t>
      </w:r>
      <w:r>
        <w:rPr>
          <w:rFonts w:hint="eastAsia" w:ascii="仿宋_GB2312" w:hAnsi="仿宋_GB2312" w:eastAsia="仿宋_GB2312" w:cs="仿宋_GB2312"/>
          <w:color w:val="000000"/>
          <w:sz w:val="32"/>
          <w:szCs w:val="32"/>
          <w:highlight w:val="none"/>
          <w:lang w:eastAsia="zh-CN"/>
        </w:rPr>
        <w:t>）和《危险废物贮存污染控制标准》（GB18597-2023）的相关要求。</w:t>
      </w:r>
      <w:r>
        <w:rPr>
          <w:rFonts w:hint="eastAsia" w:ascii="仿宋_GB2312" w:hAnsi="仿宋_GB2312" w:eastAsia="仿宋_GB2312" w:cs="仿宋_GB2312"/>
          <w:color w:val="000000"/>
          <w:sz w:val="32"/>
          <w:szCs w:val="32"/>
          <w:highlight w:val="none"/>
          <w:lang w:val="en-US" w:eastAsia="zh-CN"/>
        </w:rPr>
        <w:t>危险废物</w:t>
      </w:r>
      <w:r>
        <w:rPr>
          <w:rFonts w:hint="eastAsia" w:ascii="仿宋_GB2312" w:hAnsi="仿宋_GB2312" w:eastAsia="仿宋_GB2312" w:cs="仿宋_GB2312"/>
          <w:color w:val="000000"/>
          <w:sz w:val="32"/>
          <w:szCs w:val="32"/>
        </w:rPr>
        <w:t>委托具备资质单位进行规范处置，并严格执行危险废物转移联单制度。生活垃圾收集后交由当地环卫部门处理。</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环境风险防范。加强环境风险管理及项目安全生产检查，制定环境风险应急预案及防范措施，提高事故风险防范和污染控制能力，对事故隐患做到及早发现，及时处理，确保区域环境安全。科学布设预警设施、事故应急设施（物料泄漏截流设施、风险事故池等），配套拦污、切换等处理设施，防止非正常工况和事故状态下环境风险排放。</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严格履行建设单位环保主体责任。建立健全环保规章制度和岗位责任制，配备专职环保管理人员；加强生产台账和环保台账的登记管理，做到有据可查；定期对污染防治设施进行检查和维修，确保环保设施稳定正常运行和污染物稳定达标排放，避免因管理不善、违章操作等人为因素造成污染事故和纠纷。</w:t>
      </w:r>
    </w:p>
    <w:p>
      <w:pPr>
        <w:adjustRightInd w:val="0"/>
        <w:snapToGrid w:val="0"/>
        <w:spacing w:line="600" w:lineRule="exact"/>
        <w:ind w:firstLine="640" w:firstLineChars="20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zh-CN"/>
        </w:rPr>
        <w:t>维护社会稳定。加强对项目附近环境敏感点的环境保护，处理好与周边的关系，防止因环保诉求而引发矛盾，自觉维护社会稳定。</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sz w:val="32"/>
          <w:szCs w:val="32"/>
        </w:rPr>
        <w:t>落实环境监测计划，做好施工期环境管理工作。</w:t>
      </w:r>
      <w:r>
        <w:rPr>
          <w:rFonts w:hint="eastAsia" w:ascii="仿宋_GB2312" w:hAnsi="仿宋_GB2312" w:eastAsia="仿宋_GB2312" w:cs="仿宋_GB2312"/>
          <w:color w:val="000000"/>
          <w:sz w:val="32"/>
          <w:szCs w:val="32"/>
        </w:rPr>
        <w:t>按环评报告书提出的环境管理与监测计划实施项目日常环境管理与监测</w:t>
      </w:r>
      <w:r>
        <w:rPr>
          <w:rFonts w:hint="eastAsia" w:ascii="仿宋_GB2312" w:hAnsi="仿宋_GB2312" w:eastAsia="仿宋_GB2312" w:cs="仿宋_GB2312"/>
          <w:kern w:val="32"/>
          <w:sz w:val="32"/>
          <w:szCs w:val="32"/>
        </w:rPr>
        <w:t>。</w:t>
      </w:r>
      <w:r>
        <w:rPr>
          <w:rFonts w:hint="eastAsia" w:ascii="仿宋_GB2312" w:hAnsi="仿宋_GB2312" w:eastAsia="仿宋_GB2312" w:cs="仿宋_GB2312"/>
          <w:sz w:val="32"/>
          <w:szCs w:val="32"/>
        </w:rPr>
        <w:t>项目建设必须严格执行环境保护“三同时”制度，项目建成后应按规定程序实施竣工环境保护验收。</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五、项目环境影响评价报告书经批复后，项目的性质、规模、地点、采用的生产工艺或者防治污染、防止生态破坏的措施发生重大变动的，建设单位应当依法重新报批建设项目的环境影响评价文件。自项目环境影响评价报告书批复之日起，超过五年方决定开工建设的，环境影响评价文件应当重新</w:t>
      </w:r>
      <w:r>
        <w:rPr>
          <w:rFonts w:hint="eastAsia" w:ascii="仿宋_GB2312" w:hAnsi="仿宋_GB2312" w:eastAsia="仿宋_GB2312" w:cs="仿宋_GB2312"/>
          <w:color w:val="000000"/>
          <w:sz w:val="32"/>
          <w:szCs w:val="32"/>
          <w:lang w:eastAsia="zh-CN"/>
        </w:rPr>
        <w:t>报我局</w:t>
      </w:r>
      <w:r>
        <w:rPr>
          <w:rFonts w:hint="eastAsia" w:ascii="仿宋_GB2312" w:hAnsi="仿宋_GB2312" w:eastAsia="仿宋_GB2312" w:cs="仿宋_GB2312"/>
          <w:color w:val="000000"/>
          <w:sz w:val="32"/>
          <w:szCs w:val="32"/>
        </w:rPr>
        <w:t>审核。</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六、项目在环保申报过程中不得隐情不报，如有瞒报、谎报属违法行为，建设单位将承担由此产生的一切后果。</w:t>
      </w:r>
      <w:r>
        <w:rPr>
          <w:rFonts w:hint="eastAsia" w:ascii="仿宋_GB2312" w:hAnsi="仿宋_GB2312" w:eastAsia="仿宋_GB2312" w:cs="仿宋_GB2312"/>
          <w:color w:val="000000"/>
          <w:kern w:val="32"/>
          <w:sz w:val="32"/>
          <w:szCs w:val="32"/>
        </w:rPr>
        <w:t>本批复、</w:t>
      </w:r>
      <w:r>
        <w:rPr>
          <w:rFonts w:hint="eastAsia" w:ascii="仿宋_GB2312" w:hAnsi="仿宋_GB2312" w:eastAsia="仿宋_GB2312" w:cs="仿宋_GB2312"/>
          <w:color w:val="000000"/>
          <w:sz w:val="32"/>
          <w:szCs w:val="32"/>
        </w:rPr>
        <w:t>环评报告书</w:t>
      </w:r>
      <w:r>
        <w:rPr>
          <w:rFonts w:hint="eastAsia" w:ascii="仿宋_GB2312" w:hAnsi="仿宋_GB2312" w:eastAsia="仿宋_GB2312" w:cs="仿宋_GB2312"/>
          <w:color w:val="000000"/>
          <w:kern w:val="32"/>
          <w:sz w:val="32"/>
          <w:szCs w:val="32"/>
        </w:rPr>
        <w:t>及有关附件是该项目环评审批的法律文件，</w:t>
      </w:r>
      <w:r>
        <w:rPr>
          <w:rFonts w:hint="eastAsia" w:ascii="仿宋_GB2312" w:hAnsi="仿宋_GB2312" w:eastAsia="仿宋_GB2312" w:cs="仿宋_GB2312"/>
          <w:color w:val="000000"/>
          <w:sz w:val="32"/>
          <w:szCs w:val="32"/>
        </w:rPr>
        <w:t>各项内容必须严格执行，建设单位如有违反，将依法追究法律责任。</w:t>
      </w:r>
    </w:p>
    <w:p>
      <w:pPr>
        <w:ind w:firstLine="640" w:firstLineChars="200"/>
        <w:rPr>
          <w:rFonts w:hint="eastAsia" w:ascii="仿宋_GB2312" w:eastAsia="仿宋_GB2312"/>
          <w:color w:val="auto"/>
          <w:sz w:val="32"/>
          <w:szCs w:val="32"/>
        </w:rPr>
      </w:pPr>
      <w:r>
        <w:rPr>
          <w:rFonts w:hint="eastAsia" w:ascii="仿宋_GB2312" w:hAnsi="仿宋_GB2312" w:eastAsia="仿宋_GB2312" w:cs="仿宋_GB2312"/>
          <w:color w:val="000000"/>
          <w:sz w:val="32"/>
          <w:szCs w:val="32"/>
        </w:rPr>
        <w:t>七、建设单位应在收到本批复后10个工作日内，将批复及批准的环境影响报告书送</w:t>
      </w:r>
      <w:r>
        <w:rPr>
          <w:rFonts w:hint="eastAsia" w:ascii="仿宋_GB2312" w:hAnsi="仿宋_GB2312" w:eastAsia="仿宋_GB2312" w:cs="仿宋_GB2312"/>
          <w:color w:val="000000"/>
          <w:sz w:val="32"/>
          <w:szCs w:val="32"/>
          <w:lang w:val="zh-CN"/>
        </w:rPr>
        <w:t>永州市生态环境保护综合行政执法支队</w:t>
      </w:r>
      <w:r>
        <w:rPr>
          <w:rFonts w:hint="eastAsia" w:ascii="仿宋_GB2312" w:hAnsi="仿宋_GB2312" w:eastAsia="仿宋_GB2312" w:cs="仿宋_GB2312"/>
          <w:color w:val="000000"/>
          <w:sz w:val="32"/>
          <w:szCs w:val="32"/>
        </w:rPr>
        <w:t>、永州市生态环境局道县分局。建设项目环保“三同时”执行情况的监督检查和日常环境管理工作由永州市生态环境局道县分局具体负责。</w:t>
      </w:r>
      <w:r>
        <w:rPr>
          <w:rFonts w:hint="eastAsia" w:ascii="仿宋_GB2312" w:hAnsi="仿宋_GB2312" w:eastAsia="仿宋_GB2312" w:cs="仿宋_GB2312"/>
          <w:color w:val="auto"/>
          <w:sz w:val="32"/>
          <w:szCs w:val="32"/>
          <w:lang w:val="en-US" w:eastAsia="zh-CN"/>
        </w:rPr>
        <w:t>永州市生态环境局道县分局</w:t>
      </w:r>
      <w:r>
        <w:rPr>
          <w:rFonts w:hint="eastAsia" w:ascii="仿宋_GB2312" w:eastAsia="仿宋_GB2312"/>
          <w:color w:val="auto"/>
          <w:sz w:val="32"/>
          <w:szCs w:val="32"/>
        </w:rPr>
        <w:t>应明确具体监管人员，压实工作责任，定期开展巡查，重大问题及时向市生态环境局和市生态环境保护综合行政执法支队报告。</w:t>
      </w:r>
    </w:p>
    <w:p>
      <w:pPr>
        <w:spacing w:line="600" w:lineRule="exact"/>
        <w:rPr>
          <w:rFonts w:hint="eastAsia" w:ascii="仿宋_GB2312" w:hAnsi="仿宋_GB2312" w:eastAsia="仿宋_GB2312" w:cs="仿宋_GB2312"/>
          <w:bCs/>
          <w:color w:val="000000"/>
          <w:sz w:val="32"/>
          <w:szCs w:val="32"/>
        </w:rPr>
      </w:pPr>
    </w:p>
    <w:p>
      <w:pPr>
        <w:pStyle w:val="2"/>
        <w:widowControl w:val="0"/>
        <w:spacing w:line="600" w:lineRule="exact"/>
        <w:ind w:firstLine="0" w:firstLineChars="0"/>
        <w:rPr>
          <w:rFonts w:hint="eastAsia" w:ascii="仿宋_GB2312" w:hAnsi="仿宋_GB2312" w:eastAsia="仿宋_GB2312" w:cs="仿宋_GB2312"/>
          <w:color w:val="000000"/>
          <w:sz w:val="32"/>
          <w:szCs w:val="32"/>
        </w:rPr>
      </w:pP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永州市生态环境局</w:t>
      </w: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val="zh-CN"/>
        </w:rPr>
        <w:t>年</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zh-CN"/>
        </w:rPr>
        <w:t>月</w:t>
      </w:r>
      <w:r>
        <w:rPr>
          <w:rFonts w:hint="eastAsia" w:ascii="仿宋_GB2312" w:hAnsi="仿宋_GB2312" w:eastAsia="仿宋_GB2312" w:cs="仿宋_GB2312"/>
          <w:color w:val="000000"/>
          <w:sz w:val="32"/>
          <w:szCs w:val="32"/>
          <w:lang w:val="en-US" w:eastAsia="zh-CN"/>
        </w:rPr>
        <w:t>27</w:t>
      </w:r>
      <w:bookmarkStart w:id="0" w:name="_GoBack"/>
      <w:bookmarkEnd w:id="0"/>
      <w:r>
        <w:rPr>
          <w:rFonts w:hint="eastAsia" w:ascii="仿宋_GB2312" w:hAnsi="仿宋_GB2312" w:eastAsia="仿宋_GB2312" w:cs="仿宋_GB2312"/>
          <w:color w:val="000000"/>
          <w:sz w:val="32"/>
          <w:szCs w:val="32"/>
          <w:lang w:val="zh-CN"/>
        </w:rPr>
        <w:t>日</w:t>
      </w:r>
    </w:p>
    <w:p>
      <w:pPr>
        <w:adjustRightInd w:val="0"/>
        <w:snapToGrid w:val="0"/>
        <w:spacing w:line="600" w:lineRule="exact"/>
        <w:rPr>
          <w:rFonts w:hint="eastAsia" w:ascii="仿宋_GB2312" w:hAnsi="仿宋_GB2312" w:eastAsia="仿宋_GB2312" w:cs="仿宋_GB2312"/>
          <w:color w:val="000000"/>
          <w:sz w:val="32"/>
          <w:szCs w:val="32"/>
          <w:lang w:val="zh-CN"/>
        </w:rPr>
      </w:pPr>
    </w:p>
    <w:p>
      <w:pPr>
        <w:adjustRightInd w:val="0"/>
        <w:snapToGrid w:val="0"/>
        <w:spacing w:line="600" w:lineRule="exact"/>
        <w:rPr>
          <w:rFonts w:hint="eastAsia" w:ascii="仿宋_GB2312" w:hAnsi="仿宋_GB2312" w:eastAsia="仿宋_GB2312" w:cs="仿宋_GB2312"/>
          <w:color w:val="000000"/>
          <w:sz w:val="32"/>
          <w:szCs w:val="32"/>
          <w:lang w:val="zh-CN"/>
        </w:rPr>
      </w:pPr>
    </w:p>
    <w:p>
      <w:pPr>
        <w:adjustRightInd w:val="0"/>
        <w:snapToGrid w:val="0"/>
        <w:spacing w:line="600" w:lineRule="exact"/>
        <w:ind w:firstLine="320" w:firstLineChars="100"/>
      </w:pPr>
      <w:r>
        <w:rPr>
          <w:rFonts w:hint="eastAsia" w:ascii="仿宋_GB2312" w:hAnsi="仿宋_GB2312" w:eastAsia="仿宋_GB2312" w:cs="仿宋_GB2312"/>
          <w:color w:val="000000"/>
          <w:sz w:val="32"/>
          <w:szCs w:val="32"/>
          <w:lang w:val="zh-CN"/>
        </w:rPr>
        <w:t>抄送：永州市生态环境保护综合行政执法支队，永州市生态环境局</w:t>
      </w:r>
      <w:r>
        <w:rPr>
          <w:rFonts w:hint="eastAsia" w:ascii="仿宋_GB2312" w:hAnsi="仿宋_GB2312" w:eastAsia="仿宋_GB2312" w:cs="仿宋_GB2312"/>
          <w:bCs/>
          <w:color w:val="000000"/>
          <w:sz w:val="32"/>
          <w:szCs w:val="32"/>
        </w:rPr>
        <w:t>道县分局</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sz w:val="32"/>
          <w:szCs w:val="32"/>
        </w:rPr>
        <w:t>湖南</w:t>
      </w:r>
      <w:r>
        <w:rPr>
          <w:rFonts w:hint="eastAsia" w:ascii="仿宋_GB2312" w:hAnsi="仿宋_GB2312" w:eastAsia="仿宋_GB2312" w:cs="仿宋_GB2312"/>
          <w:sz w:val="32"/>
          <w:szCs w:val="32"/>
          <w:lang w:val="en-US" w:eastAsia="zh-CN"/>
        </w:rPr>
        <w:t>佰纳</w:t>
      </w:r>
      <w:r>
        <w:rPr>
          <w:rFonts w:hint="eastAsia" w:ascii="仿宋_GB2312" w:hAnsi="仿宋_GB2312" w:eastAsia="仿宋_GB2312" w:cs="仿宋_GB2312"/>
          <w:sz w:val="32"/>
          <w:szCs w:val="32"/>
        </w:rPr>
        <w:t>环保科技有限公司</w:t>
      </w:r>
      <w:r>
        <w:rPr>
          <w:rFonts w:hint="eastAsia" w:ascii="仿宋_GB2312" w:hAnsi="仿宋_GB2312" w:eastAsia="仿宋_GB2312" w:cs="仿宋_GB2312"/>
          <w:color w:val="000000"/>
          <w:sz w:val="32"/>
          <w:szCs w:val="32"/>
          <w:lang w:val="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221FB"/>
    <w:rsid w:val="044F4A76"/>
    <w:rsid w:val="102A0947"/>
    <w:rsid w:val="14DF22A5"/>
    <w:rsid w:val="1A9F5AEC"/>
    <w:rsid w:val="25521572"/>
    <w:rsid w:val="29C5D51B"/>
    <w:rsid w:val="2FFB99ED"/>
    <w:rsid w:val="32D85BE7"/>
    <w:rsid w:val="34655749"/>
    <w:rsid w:val="3D5F6A96"/>
    <w:rsid w:val="3EF26D6B"/>
    <w:rsid w:val="3EFB7D6C"/>
    <w:rsid w:val="43AF64F0"/>
    <w:rsid w:val="477F13E1"/>
    <w:rsid w:val="4B7F5B36"/>
    <w:rsid w:val="4B9FDC3D"/>
    <w:rsid w:val="4EDA3AFF"/>
    <w:rsid w:val="5ECB5988"/>
    <w:rsid w:val="5F9F3570"/>
    <w:rsid w:val="606B0A08"/>
    <w:rsid w:val="61687CC9"/>
    <w:rsid w:val="64370110"/>
    <w:rsid w:val="6452115D"/>
    <w:rsid w:val="66C814F3"/>
    <w:rsid w:val="6935143D"/>
    <w:rsid w:val="6CB02B4B"/>
    <w:rsid w:val="778A35E9"/>
    <w:rsid w:val="793CE833"/>
    <w:rsid w:val="7DFD0D2C"/>
    <w:rsid w:val="7E7D41F7"/>
    <w:rsid w:val="7FBFC57E"/>
    <w:rsid w:val="7FDBFE7B"/>
    <w:rsid w:val="7FFE0C3F"/>
    <w:rsid w:val="BB7BB31E"/>
    <w:rsid w:val="FFF76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widowControl/>
      <w:snapToGrid w:val="0"/>
      <w:spacing w:line="360" w:lineRule="auto"/>
      <w:ind w:firstLine="1440" w:firstLineChars="200"/>
    </w:pPr>
    <w:rPr>
      <w:kern w:val="0"/>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永环书正文"/>
    <w:basedOn w:val="1"/>
    <w:qFormat/>
    <w:uiPriority w:val="0"/>
    <w:pPr>
      <w:spacing w:before="62" w:beforeLines="20" w:after="62" w:afterLines="20" w:line="360" w:lineRule="auto"/>
      <w:ind w:firstLine="20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39</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2026-01-17T18:10:00Z</dcterms:created>
  <dc:creator>tanny</dc:creator>
  <cp:lastModifiedBy>kylin</cp:lastModifiedBy>
  <cp:lastPrinted>2026-02-25T18:49:00Z</cp:lastPrinted>
  <dcterms:modified xsi:type="dcterms:W3CDTF">2026-02-27T15:09:06Z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F521E2E96AED4C8985DACCF26895DB68_11</vt:lpwstr>
  </property>
  <property fmtid="{D5CDD505-2E9C-101B-9397-08002B2CF9AE}" pid="4" name="KSOTemplateDocerSaveRecord">
    <vt:lpwstr>eyJoZGlkIjoiNzZhNmYzMjk3YzQzYzI1NDg1ODljN2RkMzhjYzcxYWEiLCJ1c2VySWQiOiIyNTYyNjk3NzQifQ==</vt:lpwstr>
  </property>
</Properties>
</file>