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ascii="仿宋_GB2312" w:hAnsi="仿宋" w:eastAsia="仿宋_GB2312"/>
          <w:color w:val="000000"/>
          <w:sz w:val="32"/>
          <w:szCs w:val="32"/>
          <w:highlight w:val="yellow"/>
        </w:rPr>
      </w:pPr>
      <w:r>
        <w:rPr>
          <w:rFonts w:hint="eastAsia" w:ascii="仿宋_GB2312" w:hAnsi="仿宋" w:eastAsia="仿宋_GB2312" w:cs="仿宋_GB2312"/>
          <w:color w:val="000000"/>
          <w:sz w:val="32"/>
          <w:szCs w:val="32"/>
          <w:lang w:val="zh-CN"/>
        </w:rPr>
        <w:t>永环评〔20</w:t>
      </w:r>
      <w:r>
        <w:rPr>
          <w:rFonts w:hint="eastAsia" w:ascii="仿宋_GB2312" w:hAnsi="仿宋" w:eastAsia="仿宋_GB2312" w:cs="仿宋_GB2312"/>
          <w:color w:val="000000"/>
          <w:sz w:val="32"/>
          <w:szCs w:val="32"/>
        </w:rPr>
        <w:t>2</w:t>
      </w:r>
      <w:r>
        <w:rPr>
          <w:rFonts w:hint="eastAsia" w:ascii="仿宋_GB2312" w:hAnsi="仿宋" w:eastAsia="仿宋_GB2312" w:cs="仿宋_GB2312"/>
          <w:color w:val="000000"/>
          <w:sz w:val="32"/>
          <w:szCs w:val="32"/>
          <w:lang w:val="en-US" w:eastAsia="zh-CN"/>
        </w:rPr>
        <w:t>6</w:t>
      </w: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val="en-US" w:eastAsia="zh-CN"/>
        </w:rPr>
        <w:t>6</w:t>
      </w:r>
      <w:r>
        <w:rPr>
          <w:rFonts w:hint="eastAsia" w:ascii="仿宋_GB2312" w:hAnsi="仿宋" w:eastAsia="仿宋_GB2312" w:cs="仿宋_GB2312"/>
          <w:color w:val="000000"/>
          <w:sz w:val="32"/>
          <w:szCs w:val="32"/>
          <w:lang w:val="zh-CN"/>
        </w:rPr>
        <w:t>号</w:t>
      </w:r>
    </w:p>
    <w:p>
      <w:pPr>
        <w:adjustRightInd w:val="0"/>
        <w:snapToGrid w:val="0"/>
        <w:spacing w:line="640" w:lineRule="exact"/>
        <w:rPr>
          <w:rFonts w:ascii="仿宋" w:hAnsi="仿宋" w:eastAsia="仿宋"/>
          <w:b/>
          <w:bCs/>
          <w:color w:val="000000"/>
          <w:sz w:val="32"/>
          <w:szCs w:val="32"/>
        </w:rPr>
      </w:pPr>
    </w:p>
    <w:p>
      <w:pPr>
        <w:spacing w:line="600" w:lineRule="exact"/>
        <w:jc w:val="center"/>
        <w:rPr>
          <w:rFonts w:ascii="方正小标宋简体" w:hAnsi="方正小标宋简体" w:eastAsia="方正小标宋简体" w:cs="方正小标宋简体"/>
          <w:color w:val="000000"/>
          <w:spacing w:val="-11"/>
          <w:sz w:val="44"/>
          <w:szCs w:val="44"/>
          <w:lang w:val="zh-CN"/>
        </w:rPr>
      </w:pPr>
      <w:r>
        <w:rPr>
          <w:rFonts w:hint="eastAsia" w:ascii="方正小标宋简体" w:hAnsi="方正小标宋简体" w:eastAsia="方正小标宋简体" w:cs="方正小标宋简体"/>
          <w:color w:val="000000"/>
          <w:spacing w:val="-11"/>
          <w:sz w:val="44"/>
          <w:szCs w:val="44"/>
          <w:lang w:val="zh-CN"/>
        </w:rPr>
        <w:t>关于湖南宁钠科技钠离子电池生物质硬碳负极材料加工建设项目环境影响报告书的批复</w:t>
      </w:r>
    </w:p>
    <w:p>
      <w:pPr>
        <w:spacing w:line="600" w:lineRule="exact"/>
        <w:ind w:firstLine="642" w:firstLineChars="200"/>
        <w:rPr>
          <w:rFonts w:ascii="仿宋_GB2312" w:hAnsi="仿宋_GB2312" w:eastAsia="仿宋_GB2312" w:cs="仿宋_GB2312"/>
          <w:b/>
          <w:bCs/>
          <w:color w:val="000000"/>
          <w:sz w:val="32"/>
          <w:szCs w:val="32"/>
        </w:rPr>
      </w:pPr>
    </w:p>
    <w:p>
      <w:pPr>
        <w:snapToGrid w:val="0"/>
        <w:spacing w:line="60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湖南宁钠科技有限责任公司</w:t>
      </w:r>
      <w:r>
        <w:rPr>
          <w:rFonts w:hint="eastAsia" w:ascii="仿宋_GB2312" w:hAnsi="仿宋_GB2312" w:eastAsia="仿宋_GB2312" w:cs="仿宋_GB2312"/>
          <w:color w:val="000000"/>
          <w:sz w:val="32"/>
          <w:szCs w:val="32"/>
        </w:rPr>
        <w:t>：</w:t>
      </w:r>
    </w:p>
    <w:p>
      <w:pPr>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你公司关于申请审批的报告和《湖南宁钠科技钠离子电池生物质硬碳负极材料加工建设项目环境影响报告书》（报批稿）及相关附件收悉，经研究，现批复如下：</w:t>
      </w:r>
    </w:p>
    <w:p>
      <w:pPr>
        <w:spacing w:beforeLines="0" w:afterLines="0"/>
        <w:ind w:firstLine="640" w:firstLineChars="200"/>
        <w:jc w:val="both"/>
        <w:rPr>
          <w:rFonts w:hint="eastAsia" w:ascii="仿宋_GB2312" w:hAnsi="仿宋_GB2312" w:eastAsia="仿宋_GB2312" w:cs="仿宋_GB2312"/>
          <w:kern w:val="0"/>
          <w:sz w:val="32"/>
          <w:szCs w:val="32"/>
          <w:lang w:bidi="ar"/>
        </w:rPr>
      </w:pPr>
      <w:r>
        <w:rPr>
          <w:rFonts w:hint="eastAsia" w:ascii="仿宋_GB2312" w:hAnsi="仿宋_GB2312" w:eastAsia="仿宋_GB2312" w:cs="仿宋_GB2312"/>
          <w:color w:val="000000"/>
          <w:sz w:val="32"/>
          <w:szCs w:val="32"/>
        </w:rPr>
        <w:t>一、你公司</w:t>
      </w:r>
      <w:r>
        <w:rPr>
          <w:rFonts w:hint="eastAsia" w:ascii="仿宋_GB2312" w:hAnsi="仿宋_GB2312" w:eastAsia="仿宋_GB2312" w:cs="仿宋_GB2312"/>
          <w:kern w:val="0"/>
          <w:sz w:val="32"/>
          <w:szCs w:val="32"/>
          <w:lang w:bidi="ar"/>
        </w:rPr>
        <w:t>湖南宁钠科技钠离子电池生物质硬碳负极材料</w:t>
      </w:r>
      <w:r>
        <w:rPr>
          <w:rFonts w:hint="eastAsia" w:ascii="仿宋_GB2312" w:hAnsi="仿宋_GB2312" w:eastAsia="仿宋_GB2312" w:cs="仿宋_GB2312"/>
          <w:b w:val="0"/>
          <w:bCs w:val="0"/>
          <w:i w:val="0"/>
          <w:iCs w:val="0"/>
          <w:color w:val="auto"/>
          <w:kern w:val="0"/>
          <w:sz w:val="32"/>
          <w:szCs w:val="32"/>
          <w:lang w:bidi="ar"/>
        </w:rPr>
        <w:t>加工建设项目</w:t>
      </w:r>
      <w:r>
        <w:rPr>
          <w:rFonts w:hint="eastAsia" w:ascii="仿宋_GB2312" w:hAnsi="仿宋_GB2312" w:eastAsia="仿宋_GB2312" w:cs="仿宋_GB2312"/>
          <w:b w:val="0"/>
          <w:bCs w:val="0"/>
          <w:i w:val="0"/>
          <w:iCs w:val="0"/>
          <w:color w:val="auto"/>
          <w:sz w:val="32"/>
          <w:szCs w:val="32"/>
        </w:rPr>
        <w:t>位于湖南省永州市</w:t>
      </w:r>
      <w:r>
        <w:rPr>
          <w:rFonts w:hint="eastAsia" w:ascii="仿宋_GB2312" w:hAnsi="仿宋_GB2312" w:eastAsia="仿宋_GB2312" w:cs="仿宋_GB2312"/>
          <w:b w:val="0"/>
          <w:bCs w:val="0"/>
          <w:i w:val="0"/>
          <w:iCs w:val="0"/>
          <w:color w:val="auto"/>
          <w:sz w:val="32"/>
          <w:szCs w:val="32"/>
          <w:lang w:eastAsia="zh-CN"/>
        </w:rPr>
        <w:t>宁远高新技术产业开发</w:t>
      </w:r>
      <w:r>
        <w:rPr>
          <w:rFonts w:hint="eastAsia" w:ascii="仿宋_GB2312" w:hAnsi="仿宋_GB2312" w:eastAsia="仿宋_GB2312" w:cs="仿宋_GB2312"/>
          <w:b w:val="0"/>
          <w:bCs w:val="0"/>
          <w:i w:val="0"/>
          <w:iCs w:val="0"/>
          <w:color w:val="auto"/>
          <w:kern w:val="0"/>
          <w:sz w:val="32"/>
          <w:szCs w:val="32"/>
          <w:lang w:eastAsia="zh-CN" w:bidi="ar"/>
        </w:rPr>
        <w:t>区</w:t>
      </w:r>
      <w:r>
        <w:rPr>
          <w:rFonts w:hint="eastAsia" w:ascii="仿宋_GB2312" w:hAnsi="仿宋_GB2312" w:eastAsia="仿宋_GB2312" w:cs="仿宋_GB2312"/>
          <w:b w:val="0"/>
          <w:bCs w:val="0"/>
          <w:i w:val="0"/>
          <w:iCs w:val="0"/>
          <w:color w:val="auto"/>
          <w:kern w:val="0"/>
          <w:sz w:val="32"/>
          <w:szCs w:val="32"/>
          <w:lang w:bidi="ar"/>
        </w:rPr>
        <w:t>福源工业园智能装备产业园4#栋厂房，</w:t>
      </w:r>
      <w:r>
        <w:rPr>
          <w:rFonts w:hint="eastAsia" w:ascii="仿宋_GB2312" w:hAnsi="仿宋_GB2312" w:eastAsia="仿宋_GB2312" w:cs="仿宋_GB2312"/>
          <w:b w:val="0"/>
          <w:bCs w:val="0"/>
          <w:i w:val="0"/>
          <w:iCs w:val="0"/>
          <w:color w:val="auto"/>
          <w:kern w:val="0"/>
          <w:sz w:val="32"/>
          <w:szCs w:val="32"/>
          <w:lang w:val="en-US" w:eastAsia="zh-CN" w:bidi="ar"/>
        </w:rPr>
        <w:t>中心地理坐标为东经111°57′36.348″，北纬 25°38′41.688″。</w:t>
      </w:r>
      <w:r>
        <w:rPr>
          <w:rFonts w:hint="eastAsia" w:ascii="仿宋_GB2312" w:hAnsi="仿宋_GB2312" w:eastAsia="仿宋_GB2312" w:cs="仿宋_GB2312"/>
          <w:b w:val="0"/>
          <w:bCs w:val="0"/>
          <w:i w:val="0"/>
          <w:iCs w:val="0"/>
          <w:color w:val="auto"/>
          <w:kern w:val="0"/>
          <w:sz w:val="32"/>
          <w:szCs w:val="32"/>
          <w:lang w:bidi="ar"/>
        </w:rPr>
        <w:t>项目性质为新建，总投资</w:t>
      </w:r>
      <w:r>
        <w:rPr>
          <w:rFonts w:hint="eastAsia" w:ascii="仿宋_GB2312" w:hAnsi="仿宋_GB2312" w:eastAsia="仿宋_GB2312" w:cs="仿宋_GB2312"/>
          <w:b w:val="0"/>
          <w:bCs w:val="0"/>
          <w:i w:val="0"/>
          <w:iCs w:val="0"/>
          <w:color w:val="auto"/>
          <w:kern w:val="0"/>
          <w:sz w:val="32"/>
          <w:szCs w:val="32"/>
          <w:lang w:val="en-US" w:eastAsia="zh-CN" w:bidi="ar"/>
        </w:rPr>
        <w:t>3800</w:t>
      </w:r>
      <w:r>
        <w:rPr>
          <w:rFonts w:hint="eastAsia" w:ascii="仿宋_GB2312" w:hAnsi="仿宋_GB2312" w:eastAsia="仿宋_GB2312" w:cs="仿宋_GB2312"/>
          <w:b w:val="0"/>
          <w:bCs w:val="0"/>
          <w:i w:val="0"/>
          <w:iCs w:val="0"/>
          <w:color w:val="auto"/>
          <w:kern w:val="0"/>
          <w:sz w:val="32"/>
          <w:szCs w:val="32"/>
          <w:lang w:bidi="ar"/>
        </w:rPr>
        <w:t>万元，其中环保投资</w:t>
      </w:r>
      <w:r>
        <w:rPr>
          <w:rFonts w:hint="eastAsia" w:ascii="仿宋_GB2312" w:hAnsi="仿宋_GB2312" w:eastAsia="仿宋_GB2312" w:cs="仿宋_GB2312"/>
          <w:b w:val="0"/>
          <w:bCs w:val="0"/>
          <w:i w:val="0"/>
          <w:iCs w:val="0"/>
          <w:color w:val="auto"/>
          <w:kern w:val="0"/>
          <w:sz w:val="32"/>
          <w:szCs w:val="32"/>
          <w:lang w:val="en-US" w:eastAsia="zh-CN" w:bidi="ar"/>
        </w:rPr>
        <w:t>519</w:t>
      </w:r>
      <w:r>
        <w:rPr>
          <w:rFonts w:hint="eastAsia" w:ascii="仿宋_GB2312" w:hAnsi="仿宋_GB2312" w:eastAsia="仿宋_GB2312" w:cs="仿宋_GB2312"/>
          <w:b w:val="0"/>
          <w:bCs w:val="0"/>
          <w:i w:val="0"/>
          <w:iCs w:val="0"/>
          <w:color w:val="auto"/>
          <w:kern w:val="0"/>
          <w:sz w:val="32"/>
          <w:szCs w:val="32"/>
          <w:lang w:bidi="ar"/>
        </w:rPr>
        <w:t>万元，</w:t>
      </w:r>
      <w:r>
        <w:rPr>
          <w:rFonts w:hint="eastAsia" w:ascii="仿宋_GB2312" w:hAnsi="仿宋_GB2312" w:eastAsia="仿宋_GB2312" w:cs="仿宋_GB2312"/>
          <w:b w:val="0"/>
          <w:bCs w:val="0"/>
          <w:i w:val="0"/>
          <w:iCs w:val="0"/>
          <w:color w:val="auto"/>
          <w:kern w:val="0"/>
          <w:sz w:val="32"/>
          <w:szCs w:val="32"/>
          <w:lang w:eastAsia="zh-CN" w:bidi="ar"/>
        </w:rPr>
        <w:t>约</w:t>
      </w:r>
      <w:r>
        <w:rPr>
          <w:rFonts w:hint="eastAsia" w:ascii="仿宋_GB2312" w:hAnsi="仿宋_GB2312" w:eastAsia="仿宋_GB2312" w:cs="仿宋_GB2312"/>
          <w:b w:val="0"/>
          <w:bCs w:val="0"/>
          <w:i w:val="0"/>
          <w:iCs w:val="0"/>
          <w:color w:val="auto"/>
          <w:kern w:val="0"/>
          <w:sz w:val="32"/>
          <w:szCs w:val="32"/>
          <w:lang w:bidi="ar"/>
        </w:rPr>
        <w:t>占总投资的</w:t>
      </w:r>
      <w:r>
        <w:rPr>
          <w:rFonts w:hint="eastAsia" w:ascii="仿宋_GB2312" w:hAnsi="仿宋_GB2312" w:eastAsia="仿宋_GB2312" w:cs="仿宋_GB2312"/>
          <w:b w:val="0"/>
          <w:bCs w:val="0"/>
          <w:i w:val="0"/>
          <w:iCs w:val="0"/>
          <w:color w:val="auto"/>
          <w:kern w:val="0"/>
          <w:sz w:val="32"/>
          <w:szCs w:val="32"/>
          <w:lang w:val="en-US" w:eastAsia="zh-CN" w:bidi="ar"/>
        </w:rPr>
        <w:t>13.66</w:t>
      </w:r>
      <w:r>
        <w:rPr>
          <w:rFonts w:hint="eastAsia" w:ascii="仿宋_GB2312" w:hAnsi="仿宋_GB2312" w:eastAsia="仿宋_GB2312" w:cs="仿宋_GB2312"/>
          <w:b w:val="0"/>
          <w:bCs w:val="0"/>
          <w:i w:val="0"/>
          <w:iCs w:val="0"/>
          <w:color w:val="auto"/>
          <w:kern w:val="0"/>
          <w:sz w:val="32"/>
          <w:szCs w:val="32"/>
          <w:lang w:bidi="ar"/>
        </w:rPr>
        <w:t>%。项目占地面积</w:t>
      </w:r>
      <w:r>
        <w:rPr>
          <w:rFonts w:hint="eastAsia" w:ascii="仿宋_GB2312" w:hAnsi="仿宋_GB2312" w:eastAsia="仿宋_GB2312" w:cs="仿宋_GB2312"/>
          <w:b w:val="0"/>
          <w:bCs w:val="0"/>
          <w:i w:val="0"/>
          <w:iCs w:val="0"/>
          <w:color w:val="auto"/>
          <w:kern w:val="0"/>
          <w:sz w:val="32"/>
          <w:szCs w:val="32"/>
          <w:lang w:val="en-US" w:eastAsia="zh-CN" w:bidi="ar"/>
        </w:rPr>
        <w:t xml:space="preserve">8200 </w:t>
      </w:r>
      <w:r>
        <w:rPr>
          <w:rFonts w:hint="eastAsia" w:ascii="仿宋_GB2312" w:hAnsi="仿宋_GB2312" w:eastAsia="仿宋_GB2312" w:cs="仿宋_GB2312"/>
          <w:b w:val="0"/>
          <w:bCs w:val="0"/>
          <w:i w:val="0"/>
          <w:iCs w:val="0"/>
          <w:color w:val="auto"/>
          <w:kern w:val="0"/>
          <w:sz w:val="32"/>
          <w:szCs w:val="32"/>
          <w:lang w:bidi="ar"/>
        </w:rPr>
        <w:t>m</w:t>
      </w:r>
      <w:r>
        <w:rPr>
          <w:rFonts w:hint="eastAsia" w:ascii="仿宋_GB2312" w:hAnsi="仿宋_GB2312" w:eastAsia="仿宋_GB2312" w:cs="仿宋_GB2312"/>
          <w:b w:val="0"/>
          <w:bCs w:val="0"/>
          <w:i w:val="0"/>
          <w:iCs w:val="0"/>
          <w:color w:val="auto"/>
          <w:kern w:val="0"/>
          <w:sz w:val="32"/>
          <w:szCs w:val="32"/>
          <w:vertAlign w:val="superscript"/>
          <w:lang w:bidi="ar"/>
        </w:rPr>
        <w:t>2</w:t>
      </w:r>
      <w:r>
        <w:rPr>
          <w:rFonts w:hint="eastAsia" w:ascii="仿宋_GB2312" w:hAnsi="仿宋_GB2312" w:eastAsia="仿宋_GB2312" w:cs="仿宋_GB2312"/>
          <w:b w:val="0"/>
          <w:bCs w:val="0"/>
          <w:i w:val="0"/>
          <w:iCs w:val="0"/>
          <w:color w:val="auto"/>
          <w:kern w:val="0"/>
          <w:sz w:val="32"/>
          <w:szCs w:val="32"/>
          <w:lang w:bidi="ar"/>
        </w:rPr>
        <w:t>，主要生产单元包括破碎粉</w:t>
      </w:r>
      <w:bookmarkStart w:id="0" w:name="_GoBack"/>
      <w:bookmarkEnd w:id="0"/>
      <w:r>
        <w:rPr>
          <w:rFonts w:hint="eastAsia" w:ascii="仿宋_GB2312" w:hAnsi="仿宋_GB2312" w:eastAsia="仿宋_GB2312" w:cs="仿宋_GB2312"/>
          <w:b w:val="0"/>
          <w:bCs w:val="0"/>
          <w:i w:val="0"/>
          <w:iCs w:val="0"/>
          <w:color w:val="auto"/>
          <w:kern w:val="0"/>
          <w:sz w:val="32"/>
          <w:szCs w:val="32"/>
          <w:lang w:bidi="ar"/>
        </w:rPr>
        <w:t>碎系统、磨粉系统、回转炉、预炭</w:t>
      </w:r>
      <w:r>
        <w:rPr>
          <w:rFonts w:hint="eastAsia" w:ascii="仿宋_GB2312" w:hAnsi="仿宋_GB2312" w:eastAsia="仿宋_GB2312" w:cs="仿宋_GB2312"/>
          <w:kern w:val="0"/>
          <w:sz w:val="32"/>
          <w:szCs w:val="32"/>
          <w:lang w:bidi="ar"/>
        </w:rPr>
        <w:t>化炉、高温碳化、除磁筛分系统、纯水制备、氮气制备、仓储等，同时配备生产需要的辅助设施、环保设施等。项目</w:t>
      </w:r>
      <w:r>
        <w:rPr>
          <w:rFonts w:hint="eastAsia" w:ascii="仿宋_GB2312" w:hAnsi="仿宋_GB2312" w:eastAsia="仿宋_GB2312" w:cs="仿宋_GB2312"/>
          <w:kern w:val="0"/>
          <w:sz w:val="32"/>
          <w:szCs w:val="32"/>
          <w:lang w:val="en-US" w:eastAsia="zh-CN" w:bidi="ar"/>
        </w:rPr>
        <w:t>建成后</w:t>
      </w:r>
      <w:r>
        <w:rPr>
          <w:rFonts w:hint="eastAsia" w:ascii="仿宋_GB2312" w:hAnsi="仿宋_GB2312" w:eastAsia="仿宋_GB2312" w:cs="仿宋_GB2312"/>
          <w:kern w:val="0"/>
          <w:sz w:val="32"/>
          <w:szCs w:val="32"/>
          <w:lang w:bidi="ar"/>
        </w:rPr>
        <w:t>年产5000吨钠电硬碳负极前驱体材料及200吨钠电硬碳负极材料。</w:t>
      </w:r>
    </w:p>
    <w:p>
      <w:pPr>
        <w:pStyle w:val="6"/>
        <w:spacing w:before="0" w:beforeLines="0" w:after="0" w:afterLines="0"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二、根据湖南方瑞节能环保咨询有限公司编制的环评报告书中分析结论、专家评审意见和永州市生态环境局</w:t>
      </w:r>
      <w:r>
        <w:rPr>
          <w:rFonts w:hint="eastAsia" w:ascii="仿宋_GB2312" w:hAnsi="仿宋_GB2312" w:eastAsia="仿宋_GB2312" w:cs="仿宋_GB2312"/>
          <w:color w:val="000000"/>
          <w:sz w:val="32"/>
          <w:szCs w:val="32"/>
          <w:lang w:eastAsia="zh-CN"/>
        </w:rPr>
        <w:t>宁远</w:t>
      </w:r>
      <w:r>
        <w:rPr>
          <w:rFonts w:hint="eastAsia" w:ascii="仿宋_GB2312" w:hAnsi="仿宋_GB2312" w:eastAsia="仿宋_GB2312" w:cs="仿宋_GB2312"/>
          <w:color w:val="000000"/>
          <w:sz w:val="32"/>
          <w:szCs w:val="32"/>
        </w:rPr>
        <w:t>分局预审意见，在建设单位严格落实环评报告书和本批复提出的各项环保要求和环境影响减缓措施、环境风险防范措施、确保污染物达标排放的前提下，依据《中华人民共和国环境影响评价法》第二十二条等规定，我局原则同意该项目按环境影响报告书所列工程的地点、性质、规模、工艺、环境保护措施进行建设。</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三、建设单位在项目设计、建设和运行期间，必须全面落实环评报告书提出的各项污染防治和生态保护措施，并着重做好以下工作：</w:t>
      </w:r>
    </w:p>
    <w:p>
      <w:pPr>
        <w:spacing w:line="60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1、相关政策要求。项目应采用国内外先进的处理工艺，所选用的设备应符合国家产业政策及质量安全要求，选用工艺成熟、可靠的污染防治技</w:t>
      </w:r>
      <w:r>
        <w:rPr>
          <w:rFonts w:hint="eastAsia" w:ascii="仿宋_GB2312" w:hAnsi="仿宋_GB2312" w:eastAsia="仿宋_GB2312" w:cs="仿宋_GB2312"/>
          <w:b w:val="0"/>
          <w:bCs w:val="0"/>
          <w:color w:val="000000"/>
          <w:sz w:val="32"/>
          <w:szCs w:val="32"/>
        </w:rPr>
        <w:t>术和设备，确保各项污染物达标排放。具体选址及建设方案需符合</w:t>
      </w:r>
      <w:r>
        <w:rPr>
          <w:rFonts w:hint="eastAsia" w:ascii="仿宋_GB2312" w:hAnsi="仿宋_GB2312" w:eastAsia="仿宋_GB2312" w:cs="仿宋_GB2312"/>
          <w:b w:val="0"/>
          <w:bCs w:val="0"/>
          <w:color w:val="000000"/>
          <w:sz w:val="32"/>
          <w:szCs w:val="32"/>
          <w:lang w:eastAsia="zh-CN"/>
        </w:rPr>
        <w:t>自然资源与</w:t>
      </w:r>
      <w:r>
        <w:rPr>
          <w:rFonts w:hint="eastAsia" w:ascii="仿宋_GB2312" w:hAnsi="仿宋_GB2312" w:eastAsia="仿宋_GB2312" w:cs="仿宋_GB2312"/>
          <w:b w:val="0"/>
          <w:bCs w:val="0"/>
          <w:color w:val="000000"/>
          <w:sz w:val="32"/>
          <w:szCs w:val="32"/>
        </w:rPr>
        <w:t>规划、建设</w:t>
      </w:r>
      <w:r>
        <w:rPr>
          <w:rFonts w:hint="eastAsia" w:ascii="仿宋_GB2312" w:hAnsi="仿宋_GB2312" w:eastAsia="仿宋_GB2312" w:cs="仿宋_GB2312"/>
          <w:b w:val="0"/>
          <w:bCs w:val="0"/>
          <w:color w:val="000000"/>
          <w:sz w:val="32"/>
          <w:szCs w:val="32"/>
          <w:lang w:eastAsia="zh-CN"/>
        </w:rPr>
        <w:t>等</w:t>
      </w:r>
      <w:r>
        <w:rPr>
          <w:rFonts w:hint="eastAsia" w:ascii="仿宋_GB2312" w:hAnsi="仿宋_GB2312" w:eastAsia="仿宋_GB2312" w:cs="仿宋_GB2312"/>
          <w:b w:val="0"/>
          <w:bCs w:val="0"/>
          <w:color w:val="000000"/>
          <w:sz w:val="32"/>
          <w:szCs w:val="32"/>
        </w:rPr>
        <w:t>部门的要求。应严格控制项目厂址周</w:t>
      </w:r>
      <w:r>
        <w:rPr>
          <w:rFonts w:hint="eastAsia" w:ascii="仿宋_GB2312" w:hAnsi="仿宋_GB2312" w:eastAsia="仿宋_GB2312" w:cs="仿宋_GB2312"/>
          <w:bCs/>
          <w:color w:val="000000"/>
          <w:sz w:val="32"/>
          <w:szCs w:val="32"/>
        </w:rPr>
        <w:t>边土地使用性质，对项目所在地周边区域进行合理规划。</w:t>
      </w:r>
      <w:r>
        <w:rPr>
          <w:rFonts w:hint="eastAsia" w:ascii="仿宋_GB2312" w:hAnsi="仿宋_GB2312" w:eastAsia="仿宋_GB2312" w:cs="仿宋_GB2312"/>
          <w:color w:val="000000"/>
          <w:sz w:val="32"/>
          <w:szCs w:val="32"/>
        </w:rPr>
        <w:t>在发生实际排污行为前办理排污许可手续</w:t>
      </w:r>
      <w:r>
        <w:rPr>
          <w:rFonts w:hint="eastAsia" w:ascii="仿宋_GB2312" w:hAnsi="仿宋_GB2312" w:eastAsia="仿宋_GB2312" w:cs="仿宋_GB2312"/>
          <w:color w:val="000000"/>
          <w:sz w:val="32"/>
          <w:szCs w:val="32"/>
          <w:lang w:eastAsia="zh-CN"/>
        </w:rPr>
        <w:t>。</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2、废水污染防治。按照“雨污分流、清污分流、污污分流”原则，建设厂区排水系统及废水处理设施，优化废水处理工艺和规模。</w:t>
      </w:r>
      <w:r>
        <w:rPr>
          <w:rFonts w:hint="eastAsia" w:ascii="仿宋_GB2312" w:hAnsi="仿宋_GB2312" w:eastAsia="仿宋_GB2312" w:cs="仿宋_GB2312"/>
          <w:color w:val="000000"/>
          <w:sz w:val="32"/>
          <w:szCs w:val="32"/>
          <w:lang w:val="en-US" w:eastAsia="zh-CN"/>
        </w:rPr>
        <w:t>营运期废水主要包括纯水制备尾水、</w:t>
      </w:r>
      <w:r>
        <w:rPr>
          <w:rFonts w:hint="eastAsia" w:ascii="仿宋_GB2312" w:hAnsi="仿宋_GB2312" w:eastAsia="仿宋_GB2312" w:cs="仿宋_GB2312"/>
          <w:b w:val="0"/>
          <w:bCs w:val="0"/>
          <w:color w:val="000000"/>
          <w:sz w:val="32"/>
          <w:szCs w:val="32"/>
          <w:lang w:val="en-US" w:eastAsia="zh-CN"/>
        </w:rPr>
        <w:t>预处理漂洗废水、喷淋废水和</w:t>
      </w:r>
      <w:r>
        <w:rPr>
          <w:rFonts w:hint="eastAsia" w:ascii="仿宋_GB2312" w:hAnsi="仿宋_GB2312" w:eastAsia="仿宋_GB2312" w:cs="仿宋_GB2312"/>
          <w:color w:val="000000"/>
          <w:sz w:val="32"/>
          <w:szCs w:val="32"/>
          <w:lang w:val="en-US" w:eastAsia="zh-CN"/>
        </w:rPr>
        <w:t>生活废水</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strike w:val="0"/>
          <w:dstrike w:val="0"/>
          <w:color w:val="000000"/>
          <w:sz w:val="32"/>
          <w:szCs w:val="32"/>
          <w:lang w:val="en-US" w:eastAsia="zh-CN"/>
        </w:rPr>
        <w:t>纯水制备尾水</w:t>
      </w:r>
      <w:r>
        <w:rPr>
          <w:rFonts w:hint="eastAsia" w:ascii="仿宋_GB2312" w:hAnsi="仿宋_GB2312" w:eastAsia="仿宋_GB2312" w:cs="仿宋_GB2312"/>
          <w:b w:val="0"/>
          <w:bCs w:val="0"/>
          <w:strike w:val="0"/>
          <w:dstrike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预处理</w:t>
      </w:r>
      <w:r>
        <w:rPr>
          <w:rFonts w:hint="eastAsia" w:ascii="仿宋_GB2312" w:hAnsi="仿宋_GB2312" w:eastAsia="仿宋_GB2312" w:cs="仿宋_GB2312"/>
          <w:color w:val="000000"/>
          <w:sz w:val="32"/>
          <w:szCs w:val="32"/>
          <w:lang w:val="en-US" w:eastAsia="zh-CN"/>
        </w:rPr>
        <w:t>漂洗废水、喷淋废水</w:t>
      </w:r>
      <w:r>
        <w:rPr>
          <w:rFonts w:hint="eastAsia" w:ascii="仿宋_GB2312" w:hAnsi="仿宋_GB2312" w:eastAsia="仿宋_GB2312" w:cs="仿宋_GB2312"/>
          <w:color w:val="000000"/>
          <w:sz w:val="32"/>
          <w:szCs w:val="32"/>
          <w:lang w:eastAsia="zh-CN"/>
        </w:rPr>
        <w:t>经气浮+絮凝沉淀</w:t>
      </w:r>
      <w:r>
        <w:rPr>
          <w:rFonts w:hint="eastAsia" w:ascii="仿宋_GB2312" w:hAnsi="仿宋_GB2312" w:eastAsia="仿宋_GB2312" w:cs="仿宋_GB2312"/>
          <w:color w:val="000000"/>
          <w:sz w:val="32"/>
          <w:szCs w:val="32"/>
          <w:lang w:val="en-US" w:eastAsia="zh-CN"/>
        </w:rPr>
        <w:t>处理后，一部分回用于喷淋塔用水，其余部分与</w:t>
      </w:r>
      <w:r>
        <w:rPr>
          <w:rFonts w:hint="eastAsia" w:ascii="仿宋_GB2312" w:hAnsi="仿宋_GB2312" w:eastAsia="仿宋_GB2312" w:cs="仿宋_GB2312"/>
          <w:b w:val="0"/>
          <w:bCs w:val="0"/>
          <w:color w:val="000000"/>
          <w:sz w:val="32"/>
          <w:szCs w:val="32"/>
        </w:rPr>
        <w:t>化粪池预处理</w:t>
      </w:r>
      <w:r>
        <w:rPr>
          <w:rFonts w:hint="eastAsia" w:ascii="仿宋_GB2312" w:hAnsi="仿宋_GB2312" w:eastAsia="仿宋_GB2312" w:cs="仿宋_GB2312"/>
          <w:b w:val="0"/>
          <w:bCs w:val="0"/>
          <w:color w:val="000000"/>
          <w:sz w:val="32"/>
          <w:szCs w:val="32"/>
          <w:lang w:eastAsia="zh-CN"/>
        </w:rPr>
        <w:t>后的</w:t>
      </w:r>
      <w:r>
        <w:rPr>
          <w:rFonts w:hint="eastAsia" w:ascii="仿宋_GB2312" w:hAnsi="仿宋_GB2312" w:eastAsia="仿宋_GB2312" w:cs="仿宋_GB2312"/>
          <w:b w:val="0"/>
          <w:bCs w:val="0"/>
          <w:color w:val="000000"/>
          <w:sz w:val="32"/>
          <w:szCs w:val="32"/>
          <w:lang w:val="en-US" w:eastAsia="zh-CN"/>
        </w:rPr>
        <w:t>生活废水</w:t>
      </w:r>
      <w:r>
        <w:rPr>
          <w:rFonts w:hint="eastAsia" w:ascii="仿宋_GB2312" w:hAnsi="仿宋_GB2312" w:eastAsia="仿宋_GB2312" w:cs="仿宋_GB2312"/>
          <w:color w:val="000000"/>
          <w:sz w:val="32"/>
          <w:szCs w:val="32"/>
          <w:lang w:val="en-US" w:eastAsia="zh-CN"/>
        </w:rPr>
        <w:t>满足</w:t>
      </w:r>
      <w:r>
        <w:rPr>
          <w:rFonts w:hint="eastAsia" w:ascii="仿宋_GB2312" w:hAnsi="仿宋_GB2312" w:eastAsia="仿宋_GB2312" w:cs="仿宋_GB2312"/>
          <w:color w:val="000000"/>
          <w:sz w:val="32"/>
          <w:szCs w:val="32"/>
        </w:rPr>
        <w:t>《污水综合排放标准》（GB8978-1996）表4中三级标准及</w:t>
      </w:r>
      <w:r>
        <w:rPr>
          <w:rFonts w:hint="eastAsia" w:ascii="仿宋_GB2312" w:hAnsi="仿宋_GB2312" w:eastAsia="仿宋_GB2312" w:cs="仿宋_GB2312"/>
          <w:color w:val="000000"/>
          <w:sz w:val="32"/>
          <w:szCs w:val="32"/>
          <w:lang w:eastAsia="zh-CN"/>
        </w:rPr>
        <w:t>宁远</w:t>
      </w:r>
      <w:r>
        <w:rPr>
          <w:rFonts w:hint="eastAsia" w:ascii="仿宋_GB2312" w:hAnsi="仿宋_GB2312" w:eastAsia="仿宋_GB2312" w:cs="仿宋_GB2312"/>
          <w:color w:val="000000"/>
          <w:sz w:val="32"/>
          <w:szCs w:val="32"/>
        </w:rPr>
        <w:t>工业园污水处理厂纳管</w:t>
      </w:r>
      <w:r>
        <w:rPr>
          <w:rFonts w:hint="eastAsia" w:ascii="仿宋_GB2312" w:hAnsi="仿宋_GB2312" w:eastAsia="仿宋_GB2312" w:cs="仿宋_GB2312"/>
          <w:color w:val="000000"/>
          <w:sz w:val="32"/>
          <w:szCs w:val="32"/>
          <w:lang w:val="en-US" w:eastAsia="zh-CN"/>
        </w:rPr>
        <w:t>要求较严值</w:t>
      </w:r>
      <w:r>
        <w:rPr>
          <w:rFonts w:hint="eastAsia" w:ascii="仿宋_GB2312" w:hAnsi="仿宋_GB2312" w:eastAsia="仿宋_GB2312" w:cs="仿宋_GB2312"/>
          <w:color w:val="000000"/>
          <w:sz w:val="32"/>
          <w:szCs w:val="32"/>
        </w:rPr>
        <w:t>后排入园区污水处理厂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非正常工况下废水经事故池收集，严禁直排。</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3、废气污染防治。加强对各类生产设施的维护和管理，强化设备、管道、传输系统的密闭性，避免“跑、冒、滴、漏”。易产尘工序应布置引风和收除尘设备，并着重注意做好车间通风换气，杜绝风险事故。</w:t>
      </w:r>
      <w:r>
        <w:rPr>
          <w:rFonts w:hint="eastAsia" w:ascii="仿宋_GB2312" w:hAnsi="仿宋_GB2312" w:eastAsia="仿宋_GB2312" w:cs="仿宋_GB2312"/>
          <w:color w:val="000000"/>
          <w:sz w:val="32"/>
          <w:szCs w:val="32"/>
          <w:lang w:val="en-US" w:eastAsia="zh-CN"/>
        </w:rPr>
        <w:t>破碎、磨粉、除磁筛分及干燥废气经集气罩收集+布袋除尘处理</w:t>
      </w:r>
      <w:r>
        <w:rPr>
          <w:rFonts w:hint="eastAsia" w:ascii="仿宋_GB2312" w:hAnsi="仿宋_GB2312" w:eastAsia="仿宋_GB2312" w:cs="仿宋_GB2312"/>
          <w:color w:val="000000"/>
          <w:sz w:val="32"/>
          <w:szCs w:val="32"/>
        </w:rPr>
        <w:t>后经</w:t>
      </w:r>
      <w:r>
        <w:rPr>
          <w:rFonts w:hint="eastAsia" w:ascii="仿宋_GB2312" w:hAnsi="仿宋_GB2312" w:eastAsia="仿宋_GB2312" w:cs="仿宋_GB2312"/>
          <w:color w:val="000000"/>
          <w:sz w:val="32"/>
          <w:szCs w:val="32"/>
          <w:lang w:val="en-US" w:eastAsia="zh-CN"/>
        </w:rPr>
        <w:t>22</w:t>
      </w:r>
      <w:r>
        <w:rPr>
          <w:rFonts w:hint="eastAsia" w:ascii="仿宋_GB2312" w:hAnsi="仿宋_GB2312" w:eastAsia="仿宋_GB2312" w:cs="仿宋_GB2312"/>
          <w:color w:val="000000"/>
          <w:sz w:val="32"/>
          <w:szCs w:val="32"/>
        </w:rPr>
        <w:t>m高排气筒</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DA001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排放</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预碳化废气</w:t>
      </w:r>
      <w:r>
        <w:rPr>
          <w:rFonts w:hint="eastAsia" w:ascii="仿宋_GB2312" w:hAnsi="仿宋_GB2312" w:eastAsia="仿宋_GB2312" w:cs="仿宋_GB2312"/>
          <w:color w:val="000000"/>
          <w:sz w:val="32"/>
          <w:szCs w:val="32"/>
          <w:lang w:val="en-US" w:eastAsia="zh-CN"/>
        </w:rPr>
        <w:t>经</w:t>
      </w:r>
      <w:r>
        <w:rPr>
          <w:rFonts w:hint="eastAsia" w:ascii="仿宋_GB2312" w:hAnsi="仿宋_GB2312" w:eastAsia="仿宋_GB2312" w:cs="仿宋_GB2312"/>
          <w:color w:val="000000"/>
          <w:sz w:val="32"/>
          <w:szCs w:val="32"/>
        </w:rPr>
        <w:t>负压收集+焚烧炉+喷淋+静电除尘</w:t>
      </w:r>
      <w:r>
        <w:rPr>
          <w:rFonts w:hint="eastAsia" w:ascii="仿宋_GB2312" w:hAnsi="仿宋_GB2312" w:eastAsia="仿宋_GB2312" w:cs="仿宋_GB2312"/>
          <w:color w:val="000000"/>
          <w:sz w:val="32"/>
          <w:szCs w:val="32"/>
          <w:lang w:val="en-US" w:eastAsia="zh-CN"/>
        </w:rPr>
        <w:t>处理后经</w:t>
      </w:r>
      <w:r>
        <w:rPr>
          <w:rFonts w:hint="eastAsia" w:ascii="仿宋_GB2312" w:hAnsi="仿宋_GB2312" w:eastAsia="仿宋_GB2312" w:cs="仿宋_GB2312"/>
          <w:color w:val="000000"/>
          <w:sz w:val="32"/>
          <w:szCs w:val="32"/>
        </w:rPr>
        <w:t>22m排气筒（DA002）</w:t>
      </w:r>
      <w:r>
        <w:rPr>
          <w:rFonts w:hint="eastAsia" w:ascii="仿宋_GB2312" w:hAnsi="仿宋_GB2312" w:eastAsia="仿宋_GB2312" w:cs="仿宋_GB2312"/>
          <w:color w:val="000000"/>
          <w:sz w:val="32"/>
          <w:szCs w:val="32"/>
          <w:lang w:val="en-US" w:eastAsia="zh-CN"/>
        </w:rPr>
        <w:t>排放；高温碳化废气经负压收集+自带焚烧炉处理后经22m 排气筒（DA003）排放；天然气锅炉废气经低氮燃烧装置处理后经17m 排气筒（DA004）排放。破碎、磨粉、除磁筛分、干燥工序废气颗粒物执行《大气污染物排综合排放标准》（GB16297-1996）表2中标准限值；预碳化废气中颗粒物、二氧化硫、氮氧化物及高温碳化废气中颗粒物参照执行《湖南省工业炉窑大气污染综合治理实施方案》（湘环发〔2020〕6 号）中排放限值；预碳化废气及高温碳化废气中VOCs（以非甲烷总烃计）执行《大气污染物综合排放标准》（GB16297-1996）表 2 排放监控浓度限值，烟气黑度执行《工业炉窑大气污染物排放标准》（GB9078-1996）中二级标准要求；天然气锅炉废气执行《锅炉大气污染物排放标准》（GB13271-2014）表 2 中燃气锅炉排放要求。</w:t>
      </w:r>
      <w:r>
        <w:rPr>
          <w:rFonts w:hint="eastAsia" w:ascii="仿宋_GB2312" w:hAnsi="仿宋_GB2312" w:eastAsia="仿宋_GB2312" w:cs="仿宋_GB2312"/>
          <w:color w:val="000000"/>
          <w:sz w:val="32"/>
          <w:szCs w:val="32"/>
        </w:rPr>
        <w:t xml:space="preserve">厂界无组织排放污染物颗粒物、VOCs（以非甲烷总烃计）执行《大气污染物综合排放标准》（GB16297-1996）表 2 </w:t>
      </w:r>
      <w:r>
        <w:rPr>
          <w:rFonts w:hint="eastAsia" w:ascii="仿宋_GB2312" w:hAnsi="仿宋_GB2312" w:eastAsia="仿宋_GB2312" w:cs="仿宋_GB2312"/>
          <w:color w:val="000000"/>
          <w:sz w:val="32"/>
          <w:szCs w:val="32"/>
          <w:lang w:val="en-US" w:eastAsia="zh-CN"/>
        </w:rPr>
        <w:t>中</w:t>
      </w:r>
      <w:r>
        <w:rPr>
          <w:rFonts w:hint="eastAsia" w:ascii="仿宋_GB2312" w:hAnsi="仿宋_GB2312" w:eastAsia="仿宋_GB2312" w:cs="仿宋_GB2312"/>
          <w:color w:val="000000"/>
          <w:sz w:val="32"/>
          <w:szCs w:val="32"/>
        </w:rPr>
        <w:t>排放限值。厂区内</w:t>
      </w:r>
      <w:r>
        <w:rPr>
          <w:rFonts w:hint="eastAsia" w:ascii="仿宋_GB2312" w:hAnsi="仿宋_GB2312" w:eastAsia="仿宋_GB2312" w:cs="仿宋_GB2312"/>
          <w:color w:val="000000"/>
          <w:sz w:val="32"/>
          <w:szCs w:val="32"/>
          <w:lang w:val="en-US" w:eastAsia="zh-CN"/>
        </w:rPr>
        <w:t>VOCs</w:t>
      </w:r>
      <w:r>
        <w:rPr>
          <w:rFonts w:hint="eastAsia" w:ascii="仿宋_GB2312" w:hAnsi="仿宋_GB2312" w:eastAsia="仿宋_GB2312" w:cs="仿宋_GB2312"/>
          <w:color w:val="000000"/>
          <w:sz w:val="32"/>
          <w:szCs w:val="32"/>
        </w:rPr>
        <w:t>无组织执行《挥发性有机物无组织排放控制标准》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GB37822-2019</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排放限值</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厂区内无组织</w:t>
      </w:r>
      <w:r>
        <w:rPr>
          <w:rFonts w:hint="eastAsia" w:ascii="仿宋_GB2312" w:hAnsi="仿宋_GB2312" w:eastAsia="仿宋_GB2312" w:cs="仿宋_GB2312"/>
          <w:color w:val="000000"/>
          <w:sz w:val="32"/>
          <w:szCs w:val="32"/>
          <w:lang w:eastAsia="zh-CN"/>
        </w:rPr>
        <w:t>颗粒物执行《工业炉窑大气污染物排放标准》（GB9078-1996）中表3标准要求。</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地下水和土壤污染防治。按照“源头控制、分区防治、污染监控”原则做好地下水和土壤污染防治工作。严格分区建设、分区防控要求，加强重点区域防渗建设，切实做好防渗工作。按规范设置地下水、土壤监测点位，定期跟踪监测，发现异常立即采取措施，确保不对周边环境产生污染。</w:t>
      </w:r>
      <w:r>
        <w:rPr>
          <w:rFonts w:hint="eastAsia" w:ascii="仿宋_GB2312" w:hAnsi="仿宋_GB2312" w:eastAsia="仿宋_GB2312" w:cs="仿宋_GB2312"/>
          <w:sz w:val="32"/>
          <w:szCs w:val="32"/>
          <w:lang w:val="en-US" w:eastAsia="zh-CN"/>
        </w:rPr>
        <w:t xml:space="preserve"> </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5、噪声污染防治。优化设备选型，合理布置高噪声设备并采取隔声、消声、减振措施，确保厂界噪声达到《工业企业厂界环境噪声排放标准》（GB12348-2008）标准。</w:t>
      </w:r>
    </w:p>
    <w:p>
      <w:pPr>
        <w:adjustRightInd w:val="0"/>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固体废物处置。按照“减量化、资源化、无害化”原则，对固体废物进行分类收集、处理和处置，并确保不造成二次污染。项目产生的危险废物须严格执行国家和省危险废物管理的有关规定，交给有资质单位处理处置。一般工业固体废物综合利用或委托有相应资质的单位处理处置。危险废物、一般工业固体废物在厂内暂存应分别符合《危险废物贮存污染控制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GB18597-2023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、《一般工业固体废物贮存和填埋污染控制标准》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GB18599-2020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的要求。</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环境风险防范。加强环境风险管理及项目安全生产检查，制定环境风险应急预案及防范措施，提高事故风险防范和污染控制能力，对事故隐患做到及早发现，及时处理，确保区域环境安全。科学布设预警设施、事故应急设施（物料泄漏截流设施、风险事故池等），配套拦污、切换等处理设施，防止非正常工况和事故状态下环境风险排放。</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严格履行建设单位环保主体责任。建立健全环保规章制度和岗位责任制，配备专职环保管理人员；加强生产台账和环保台账的登记管理，做到有据可查；定期对污染防治设施进行检查和维修，确保环保设施稳定正常运行和污染物稳定达标排放，避免因管理不善、违章操作等人为因素造成污染事故和纠纷。</w:t>
      </w:r>
    </w:p>
    <w:p>
      <w:pPr>
        <w:adjustRightInd w:val="0"/>
        <w:snapToGrid w:val="0"/>
        <w:spacing w:line="600" w:lineRule="exact"/>
        <w:ind w:firstLine="640" w:firstLineChars="20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9、</w:t>
      </w:r>
      <w:r>
        <w:rPr>
          <w:rFonts w:hint="eastAsia" w:ascii="仿宋_GB2312" w:hAnsi="仿宋_GB2312" w:eastAsia="仿宋_GB2312" w:cs="仿宋_GB2312"/>
          <w:color w:val="000000"/>
          <w:sz w:val="32"/>
          <w:szCs w:val="32"/>
          <w:lang w:val="zh-CN"/>
        </w:rPr>
        <w:t>维护社会稳定。加强对项目附近环境敏感点的环境保护，处理好与周边的关系，防止因环保诉求而引发矛盾，自觉维护社会稳定。</w:t>
      </w:r>
    </w:p>
    <w:p>
      <w:pPr>
        <w:adjustRightInd w:val="0"/>
        <w:snapToGrid w:val="0"/>
        <w:spacing w:line="60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sz w:val="32"/>
          <w:szCs w:val="32"/>
        </w:rPr>
        <w:t>10、</w:t>
      </w:r>
      <w:r>
        <w:rPr>
          <w:rFonts w:hint="eastAsia" w:ascii="仿宋_GB2312" w:hAnsi="仿宋_GB2312" w:eastAsia="仿宋_GB2312" w:cs="仿宋_GB2312"/>
          <w:bCs/>
          <w:color w:val="000000"/>
          <w:sz w:val="32"/>
          <w:szCs w:val="32"/>
          <w:lang w:val="zh-CN"/>
        </w:rPr>
        <w:t>总量控制指标。根据环评报告和专家意见，确定</w:t>
      </w:r>
      <w:r>
        <w:rPr>
          <w:rFonts w:hint="eastAsia" w:ascii="仿宋_GB2312" w:hAnsi="仿宋_GB2312" w:eastAsia="仿宋_GB2312" w:cs="仿宋_GB2312"/>
          <w:bCs/>
          <w:color w:val="000000"/>
          <w:sz w:val="32"/>
          <w:szCs w:val="32"/>
        </w:rPr>
        <w:t>该</w:t>
      </w:r>
      <w:r>
        <w:rPr>
          <w:rFonts w:hint="eastAsia" w:ascii="仿宋_GB2312" w:hAnsi="仿宋_GB2312" w:eastAsia="仿宋_GB2312" w:cs="仿宋_GB2312"/>
          <w:bCs/>
          <w:color w:val="000000"/>
          <w:sz w:val="32"/>
          <w:szCs w:val="32"/>
          <w:lang w:val="zh-CN"/>
        </w:rPr>
        <w:t>项目污染物总量控制指标</w:t>
      </w:r>
      <w:r>
        <w:rPr>
          <w:rFonts w:hint="eastAsia" w:ascii="仿宋_GB2312" w:hAnsi="仿宋_GB2312" w:eastAsia="仿宋_GB2312" w:cs="仿宋_GB2312"/>
          <w:bCs/>
          <w:color w:val="000000"/>
          <w:sz w:val="32"/>
          <w:szCs w:val="32"/>
        </w:rPr>
        <w:t>：化学需氧量≤1.514t/a，氨氮≤0.</w:t>
      </w:r>
      <w:r>
        <w:rPr>
          <w:rFonts w:hint="eastAsia" w:ascii="仿宋_GB2312" w:hAnsi="仿宋_GB2312" w:eastAsia="仿宋_GB2312" w:cs="仿宋_GB2312"/>
          <w:bCs/>
          <w:color w:val="000000"/>
          <w:sz w:val="32"/>
          <w:szCs w:val="32"/>
          <w:lang w:val="en-US" w:eastAsia="zh-CN"/>
        </w:rPr>
        <w:t>378</w:t>
      </w:r>
      <w:r>
        <w:rPr>
          <w:rFonts w:hint="eastAsia" w:ascii="仿宋_GB2312" w:hAnsi="仿宋_GB2312" w:eastAsia="仿宋_GB2312" w:cs="仿宋_GB2312"/>
          <w:bCs/>
          <w:color w:val="000000"/>
          <w:sz w:val="32"/>
          <w:szCs w:val="32"/>
        </w:rPr>
        <w:t>t/a，</w:t>
      </w:r>
      <w:r>
        <w:rPr>
          <w:rFonts w:hint="eastAsia" w:ascii="仿宋_GB2312" w:hAnsi="仿宋_GB2312" w:eastAsia="仿宋_GB2312" w:cs="仿宋_GB2312"/>
          <w:bCs/>
          <w:color w:val="auto"/>
          <w:sz w:val="32"/>
          <w:szCs w:val="32"/>
        </w:rPr>
        <w:t>总磷≤0.00</w:t>
      </w:r>
      <w:r>
        <w:rPr>
          <w:rFonts w:hint="eastAsia" w:ascii="仿宋_GB2312" w:hAnsi="仿宋_GB2312" w:eastAsia="仿宋_GB2312" w:cs="仿宋_GB2312"/>
          <w:bCs/>
          <w:color w:val="auto"/>
          <w:sz w:val="32"/>
          <w:szCs w:val="32"/>
          <w:lang w:val="en-US" w:eastAsia="zh-CN"/>
        </w:rPr>
        <w:t>9</w:t>
      </w:r>
      <w:r>
        <w:rPr>
          <w:rFonts w:hint="eastAsia" w:ascii="仿宋_GB2312" w:hAnsi="仿宋_GB2312" w:eastAsia="仿宋_GB2312" w:cs="仿宋_GB2312"/>
          <w:bCs/>
          <w:color w:val="auto"/>
          <w:sz w:val="32"/>
          <w:szCs w:val="32"/>
        </w:rPr>
        <w:t>t/a，二氧化硫≤</w:t>
      </w:r>
      <w:r>
        <w:rPr>
          <w:rFonts w:hint="eastAsia" w:ascii="仿宋_GB2312" w:hAnsi="仿宋_GB2312" w:eastAsia="仿宋_GB2312" w:cs="仿宋_GB2312"/>
          <w:bCs/>
          <w:color w:val="auto"/>
          <w:sz w:val="32"/>
          <w:szCs w:val="32"/>
          <w:lang w:val="en-US" w:eastAsia="zh-CN"/>
        </w:rPr>
        <w:t>1.29</w:t>
      </w:r>
      <w:r>
        <w:rPr>
          <w:rFonts w:hint="eastAsia" w:ascii="仿宋_GB2312" w:hAnsi="仿宋_GB2312" w:eastAsia="仿宋_GB2312" w:cs="仿宋_GB2312"/>
          <w:bCs/>
          <w:color w:val="auto"/>
          <w:sz w:val="32"/>
          <w:szCs w:val="32"/>
        </w:rPr>
        <w:t>t/a，</w:t>
      </w:r>
      <w:r>
        <w:rPr>
          <w:rFonts w:hint="eastAsia" w:ascii="仿宋_GB2312" w:hAnsi="仿宋_GB2312" w:eastAsia="仿宋_GB2312" w:cs="仿宋_GB2312"/>
          <w:bCs/>
          <w:color w:val="000000"/>
          <w:sz w:val="32"/>
          <w:szCs w:val="32"/>
        </w:rPr>
        <w:t>氮氧化物≤</w:t>
      </w:r>
      <w:r>
        <w:rPr>
          <w:rFonts w:hint="eastAsia" w:ascii="仿宋_GB2312" w:hAnsi="仿宋_GB2312" w:eastAsia="仿宋_GB2312" w:cs="仿宋_GB2312"/>
          <w:bCs/>
          <w:color w:val="000000"/>
          <w:sz w:val="32"/>
          <w:szCs w:val="32"/>
          <w:lang w:val="en-US" w:eastAsia="zh-CN"/>
        </w:rPr>
        <w:t>1.96</w:t>
      </w:r>
      <w:r>
        <w:rPr>
          <w:rFonts w:hint="eastAsia" w:ascii="仿宋_GB2312" w:hAnsi="仿宋_GB2312" w:eastAsia="仿宋_GB2312" w:cs="仿宋_GB2312"/>
          <w:bCs/>
          <w:color w:val="000000"/>
          <w:sz w:val="32"/>
          <w:szCs w:val="32"/>
        </w:rPr>
        <w:t>t/a，</w:t>
      </w:r>
      <w:r>
        <w:rPr>
          <w:rFonts w:hint="eastAsia" w:ascii="仿宋_GB2312" w:hAnsi="仿宋_GB2312" w:eastAsia="仿宋_GB2312" w:cs="仿宋_GB2312"/>
          <w:bCs/>
          <w:color w:val="000000"/>
          <w:sz w:val="32"/>
          <w:szCs w:val="32"/>
          <w:lang w:val="en-US" w:eastAsia="zh-CN"/>
        </w:rPr>
        <w:t>挥发性有机物</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1.88</w:t>
      </w:r>
      <w:r>
        <w:rPr>
          <w:rFonts w:hint="eastAsia" w:ascii="仿宋_GB2312" w:hAnsi="仿宋_GB2312" w:eastAsia="仿宋_GB2312" w:cs="仿宋_GB2312"/>
          <w:bCs/>
          <w:color w:val="000000"/>
          <w:sz w:val="32"/>
          <w:szCs w:val="32"/>
        </w:rPr>
        <w:t>t/a。</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w:t>
      </w:r>
      <w:r>
        <w:rPr>
          <w:rFonts w:hint="eastAsia" w:ascii="仿宋_GB2312" w:hAnsi="仿宋_GB2312" w:eastAsia="仿宋_GB2312" w:cs="仿宋_GB2312"/>
          <w:sz w:val="32"/>
          <w:szCs w:val="32"/>
        </w:rPr>
        <w:t>落实环境监测计划，做好施工期环境管理工作。</w:t>
      </w:r>
      <w:r>
        <w:rPr>
          <w:rFonts w:hint="eastAsia" w:ascii="仿宋_GB2312" w:hAnsi="仿宋_GB2312" w:eastAsia="仿宋_GB2312" w:cs="仿宋_GB2312"/>
          <w:color w:val="000000"/>
          <w:sz w:val="32"/>
          <w:szCs w:val="32"/>
        </w:rPr>
        <w:t>按环评报告书提出的环境管理与监测计划实施项目日常环境管理与监测</w:t>
      </w:r>
      <w:r>
        <w:rPr>
          <w:rFonts w:hint="eastAsia" w:ascii="仿宋_GB2312" w:hAnsi="仿宋_GB2312" w:eastAsia="仿宋_GB2312" w:cs="仿宋_GB2312"/>
          <w:kern w:val="32"/>
          <w:sz w:val="32"/>
          <w:szCs w:val="32"/>
        </w:rPr>
        <w:t>。</w:t>
      </w:r>
      <w:r>
        <w:rPr>
          <w:rFonts w:hint="eastAsia" w:ascii="仿宋_GB2312" w:hAnsi="仿宋_GB2312" w:eastAsia="仿宋_GB2312" w:cs="仿宋_GB2312"/>
          <w:sz w:val="32"/>
          <w:szCs w:val="32"/>
        </w:rPr>
        <w:t>项目建设必须严格执行环境保护“三同时”制度，项目建成后应按规定程序实施竣工环境保护验收。</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五、项目环境影响评价报告书经批复后，项目的性质、规模、地点、采用的生产工艺或者防治污染、防止生态破坏的措施发生重大变动的，建设单位应当依法重新报批建设项目的环境影响评价文件。自项目环境影响评价报告书批复之日起，超过五年方决定开工建设的，环境影响评价文件应当重</w:t>
      </w:r>
      <w:r>
        <w:rPr>
          <w:rFonts w:hint="eastAsia" w:ascii="仿宋_GB2312" w:hAnsi="仿宋_GB2312" w:eastAsia="仿宋_GB2312" w:cs="仿宋_GB2312"/>
          <w:b w:val="0"/>
          <w:bCs w:val="0"/>
          <w:color w:val="000000"/>
          <w:sz w:val="32"/>
          <w:szCs w:val="32"/>
        </w:rPr>
        <w:t>新</w:t>
      </w:r>
      <w:r>
        <w:rPr>
          <w:rFonts w:hint="eastAsia" w:ascii="仿宋_GB2312" w:hAnsi="仿宋_GB2312" w:eastAsia="仿宋_GB2312" w:cs="仿宋_GB2312"/>
          <w:b w:val="0"/>
          <w:bCs w:val="0"/>
          <w:color w:val="000000"/>
          <w:sz w:val="32"/>
          <w:szCs w:val="32"/>
          <w:lang w:eastAsia="zh-CN"/>
        </w:rPr>
        <w:t>报我局</w:t>
      </w:r>
      <w:r>
        <w:rPr>
          <w:rFonts w:hint="eastAsia" w:ascii="仿宋_GB2312" w:hAnsi="仿宋_GB2312" w:eastAsia="仿宋_GB2312" w:cs="仿宋_GB2312"/>
          <w:b w:val="0"/>
          <w:bCs w:val="0"/>
          <w:color w:val="000000"/>
          <w:sz w:val="32"/>
          <w:szCs w:val="32"/>
        </w:rPr>
        <w:t>审</w:t>
      </w:r>
      <w:r>
        <w:rPr>
          <w:rFonts w:hint="eastAsia" w:ascii="仿宋_GB2312" w:hAnsi="仿宋_GB2312" w:eastAsia="仿宋_GB2312" w:cs="仿宋_GB2312"/>
          <w:color w:val="000000"/>
          <w:sz w:val="32"/>
          <w:szCs w:val="32"/>
        </w:rPr>
        <w:t>核。</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六、项目在环保申报过程中不得隐情不报，如有瞒报、谎报属违法行为，建设单位将承担由此产生的一切后果。</w:t>
      </w:r>
      <w:r>
        <w:rPr>
          <w:rFonts w:hint="eastAsia" w:ascii="仿宋_GB2312" w:hAnsi="仿宋_GB2312" w:eastAsia="仿宋_GB2312" w:cs="仿宋_GB2312"/>
          <w:color w:val="000000"/>
          <w:kern w:val="32"/>
          <w:sz w:val="32"/>
          <w:szCs w:val="32"/>
        </w:rPr>
        <w:t>本批复、</w:t>
      </w:r>
      <w:r>
        <w:rPr>
          <w:rFonts w:hint="eastAsia" w:ascii="仿宋_GB2312" w:hAnsi="仿宋_GB2312" w:eastAsia="仿宋_GB2312" w:cs="仿宋_GB2312"/>
          <w:color w:val="000000"/>
          <w:sz w:val="32"/>
          <w:szCs w:val="32"/>
        </w:rPr>
        <w:t>环评报告书</w:t>
      </w:r>
      <w:r>
        <w:rPr>
          <w:rFonts w:hint="eastAsia" w:ascii="仿宋_GB2312" w:hAnsi="仿宋_GB2312" w:eastAsia="仿宋_GB2312" w:cs="仿宋_GB2312"/>
          <w:color w:val="000000"/>
          <w:kern w:val="32"/>
          <w:sz w:val="32"/>
          <w:szCs w:val="32"/>
        </w:rPr>
        <w:t>及有关附件是该项目环评审批的法律文件，</w:t>
      </w:r>
      <w:r>
        <w:rPr>
          <w:rFonts w:hint="eastAsia" w:ascii="仿宋_GB2312" w:hAnsi="仿宋_GB2312" w:eastAsia="仿宋_GB2312" w:cs="仿宋_GB2312"/>
          <w:color w:val="000000"/>
          <w:sz w:val="32"/>
          <w:szCs w:val="32"/>
        </w:rPr>
        <w:t>各项内容必须严格执行，建设单位如有违反，将依法追究法律责任。</w:t>
      </w:r>
    </w:p>
    <w:p>
      <w:pPr>
        <w:spacing w:line="600" w:lineRule="exact"/>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七、建设单位应在收到本批复后10个工作日内，将批复及批准的环境影响报告书送</w:t>
      </w:r>
      <w:r>
        <w:rPr>
          <w:rFonts w:hint="eastAsia" w:ascii="仿宋_GB2312" w:hAnsi="仿宋_GB2312" w:eastAsia="仿宋_GB2312" w:cs="仿宋_GB2312"/>
          <w:color w:val="000000"/>
          <w:sz w:val="32"/>
          <w:szCs w:val="32"/>
          <w:lang w:eastAsia="zh-CN"/>
        </w:rPr>
        <w:t>宁远</w:t>
      </w:r>
      <w:r>
        <w:rPr>
          <w:rFonts w:hint="eastAsia" w:ascii="仿宋_GB2312" w:hAnsi="仿宋_GB2312" w:eastAsia="仿宋_GB2312" w:cs="仿宋_GB2312"/>
          <w:color w:val="000000"/>
          <w:sz w:val="32"/>
          <w:szCs w:val="32"/>
        </w:rPr>
        <w:t>产业开发区管理委员会和永州市生态环境局</w:t>
      </w:r>
      <w:r>
        <w:rPr>
          <w:rFonts w:hint="eastAsia" w:ascii="仿宋_GB2312" w:hAnsi="仿宋_GB2312" w:eastAsia="仿宋_GB2312" w:cs="仿宋_GB2312"/>
          <w:color w:val="000000"/>
          <w:sz w:val="32"/>
          <w:szCs w:val="32"/>
          <w:lang w:eastAsia="zh-CN"/>
        </w:rPr>
        <w:t>宁远</w:t>
      </w:r>
      <w:r>
        <w:rPr>
          <w:rFonts w:hint="eastAsia" w:ascii="仿宋_GB2312" w:hAnsi="仿宋_GB2312" w:eastAsia="仿宋_GB2312" w:cs="仿宋_GB2312"/>
          <w:color w:val="000000"/>
          <w:sz w:val="32"/>
          <w:szCs w:val="32"/>
        </w:rPr>
        <w:t>分局。建设项目环保“三同时”执行情况的监督检查和日常环境管理工作由永州市生态环境局</w:t>
      </w:r>
      <w:r>
        <w:rPr>
          <w:rFonts w:hint="eastAsia" w:ascii="仿宋_GB2312" w:hAnsi="仿宋_GB2312" w:eastAsia="仿宋_GB2312" w:cs="仿宋_GB2312"/>
          <w:color w:val="000000"/>
          <w:sz w:val="32"/>
          <w:szCs w:val="32"/>
          <w:lang w:eastAsia="zh-CN"/>
        </w:rPr>
        <w:t>宁远</w:t>
      </w:r>
      <w:r>
        <w:rPr>
          <w:rFonts w:hint="eastAsia" w:ascii="仿宋_GB2312" w:hAnsi="仿宋_GB2312" w:eastAsia="仿宋_GB2312" w:cs="仿宋_GB2312"/>
          <w:color w:val="000000"/>
          <w:sz w:val="32"/>
          <w:szCs w:val="32"/>
        </w:rPr>
        <w:t>分局具体负责。</w:t>
      </w:r>
      <w:r>
        <w:rPr>
          <w:rFonts w:hint="eastAsia" w:ascii="仿宋_GB2312" w:hAnsi="仿宋_GB2312" w:eastAsia="仿宋_GB2312" w:cs="仿宋_GB2312"/>
          <w:color w:val="000000"/>
          <w:sz w:val="32"/>
          <w:szCs w:val="32"/>
          <w:lang w:val="en-US" w:eastAsia="zh-CN"/>
        </w:rPr>
        <w:t>宁远分局应明确具体监管人员，压实工作责任，定期开展巡查，重大问题及时向市生态环境局和市生态环境保护综合行政执法支队报告。</w:t>
      </w:r>
      <w:r>
        <w:rPr>
          <w:rFonts w:hint="eastAsia" w:ascii="仿宋_GB2312" w:hAnsi="仿宋_GB2312" w:eastAsia="仿宋_GB2312" w:cs="仿宋_GB2312"/>
          <w:color w:val="000000"/>
          <w:sz w:val="32"/>
          <w:szCs w:val="32"/>
          <w:lang w:eastAsia="zh-CN"/>
        </w:rPr>
        <w:t>宁远</w:t>
      </w:r>
      <w:r>
        <w:rPr>
          <w:rFonts w:hint="eastAsia" w:ascii="仿宋_GB2312" w:hAnsi="仿宋_GB2312" w:eastAsia="仿宋_GB2312" w:cs="仿宋_GB2312"/>
          <w:color w:val="000000"/>
          <w:sz w:val="32"/>
          <w:szCs w:val="32"/>
        </w:rPr>
        <w:t>产业开发区管理委员会履行好生态环境“三管三必须”职责，并加强项目周边区域管控。</w:t>
      </w:r>
    </w:p>
    <w:p>
      <w:pPr>
        <w:spacing w:line="600" w:lineRule="exact"/>
        <w:rPr>
          <w:rFonts w:hint="eastAsia" w:ascii="仿宋_GB2312" w:hAnsi="仿宋_GB2312" w:eastAsia="仿宋_GB2312" w:cs="仿宋_GB2312"/>
          <w:bCs/>
          <w:color w:val="000000"/>
          <w:sz w:val="32"/>
          <w:szCs w:val="32"/>
        </w:rPr>
      </w:pPr>
    </w:p>
    <w:p>
      <w:pPr>
        <w:pStyle w:val="2"/>
        <w:widowControl w:val="0"/>
        <w:spacing w:line="600" w:lineRule="exact"/>
        <w:ind w:firstLine="0" w:firstLineChars="0"/>
        <w:rPr>
          <w:rFonts w:hint="eastAsia" w:ascii="仿宋_GB2312" w:hAnsi="仿宋_GB2312" w:eastAsia="仿宋_GB2312" w:cs="仿宋_GB2312"/>
          <w:color w:val="000000"/>
          <w:sz w:val="32"/>
          <w:szCs w:val="32"/>
        </w:rPr>
      </w:pPr>
    </w:p>
    <w:p>
      <w:pPr>
        <w:adjustRightInd w:val="0"/>
        <w:snapToGrid w:val="0"/>
        <w:spacing w:line="600" w:lineRule="exact"/>
        <w:ind w:firstLine="3577" w:firstLineChars="1118"/>
        <w:jc w:val="center"/>
        <w:outlineLvl w:val="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永州市生态环境局</w:t>
      </w:r>
    </w:p>
    <w:p>
      <w:pPr>
        <w:adjustRightInd w:val="0"/>
        <w:snapToGrid w:val="0"/>
        <w:spacing w:line="600" w:lineRule="exact"/>
        <w:ind w:firstLine="3577" w:firstLineChars="1118"/>
        <w:jc w:val="center"/>
        <w:outlineLvl w:val="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val="zh-CN"/>
        </w:rPr>
        <w:t>年</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月</w:t>
      </w:r>
      <w:r>
        <w:rPr>
          <w:rFonts w:hint="eastAsia" w:ascii="仿宋_GB2312" w:hAnsi="仿宋_GB2312" w:eastAsia="仿宋_GB2312" w:cs="仿宋_GB2312"/>
          <w:color w:val="000000"/>
          <w:sz w:val="32"/>
          <w:szCs w:val="32"/>
          <w:lang w:val="en-US" w:eastAsia="zh-CN"/>
        </w:rPr>
        <w:t>27</w:t>
      </w:r>
      <w:r>
        <w:rPr>
          <w:rFonts w:hint="eastAsia" w:ascii="仿宋_GB2312" w:hAnsi="仿宋_GB2312" w:eastAsia="仿宋_GB2312" w:cs="仿宋_GB2312"/>
          <w:color w:val="000000"/>
          <w:sz w:val="32"/>
          <w:szCs w:val="32"/>
          <w:lang w:val="zh-CN"/>
        </w:rPr>
        <w:t>日</w:t>
      </w:r>
    </w:p>
    <w:p>
      <w:pPr>
        <w:adjustRightInd w:val="0"/>
        <w:snapToGrid w:val="0"/>
        <w:spacing w:line="600" w:lineRule="exact"/>
        <w:ind w:firstLine="320" w:firstLineChars="100"/>
        <w:rPr>
          <w:rFonts w:hint="eastAsia" w:ascii="仿宋_GB2312" w:hAnsi="仿宋_GB2312" w:eastAsia="仿宋_GB2312" w:cs="仿宋_GB2312"/>
          <w:color w:val="000000"/>
          <w:sz w:val="32"/>
          <w:szCs w:val="32"/>
          <w:lang w:val="zh-CN"/>
        </w:rPr>
      </w:pPr>
    </w:p>
    <w:p>
      <w:pPr>
        <w:adjustRightInd w:val="0"/>
        <w:snapToGrid w:val="0"/>
        <w:spacing w:line="600" w:lineRule="exact"/>
        <w:rPr>
          <w:rFonts w:hint="eastAsia" w:ascii="仿宋_GB2312" w:hAnsi="仿宋_GB2312" w:eastAsia="仿宋_GB2312" w:cs="仿宋_GB2312"/>
          <w:color w:val="000000"/>
          <w:sz w:val="32"/>
          <w:szCs w:val="32"/>
          <w:lang w:val="zh-CN"/>
        </w:rPr>
      </w:pPr>
    </w:p>
    <w:p>
      <w:pPr>
        <w:adjustRightInd w:val="0"/>
        <w:snapToGrid w:val="0"/>
        <w:spacing w:line="600" w:lineRule="exact"/>
        <w:ind w:firstLine="320" w:firstLineChars="100"/>
        <w:rPr>
          <w:rFonts w:hint="eastAsia" w:ascii="仿宋_GB2312" w:hAnsi="仿宋_GB2312" w:eastAsia="仿宋_GB2312" w:cs="仿宋_GB2312"/>
          <w:color w:val="000000"/>
          <w:sz w:val="32"/>
          <w:szCs w:val="32"/>
          <w:lang w:val="zh-CN"/>
        </w:rPr>
      </w:pPr>
    </w:p>
    <w:p>
      <w:pPr>
        <w:adjustRightInd w:val="0"/>
        <w:snapToGrid w:val="0"/>
        <w:spacing w:line="600" w:lineRule="exact"/>
        <w:ind w:firstLine="320" w:firstLineChars="100"/>
        <w:rPr>
          <w:rFonts w:hint="eastAsia" w:ascii="仿宋_GB2312" w:hAnsi="仿宋_GB2312" w:eastAsia="仿宋_GB2312" w:cs="仿宋_GB2312"/>
          <w:color w:val="000000"/>
          <w:sz w:val="32"/>
          <w:szCs w:val="32"/>
          <w:lang w:val="zh-CN"/>
        </w:rPr>
      </w:pPr>
    </w:p>
    <w:p>
      <w:pPr>
        <w:adjustRightInd w:val="0"/>
        <w:snapToGrid w:val="0"/>
        <w:spacing w:line="600" w:lineRule="exact"/>
        <w:ind w:firstLine="320" w:firstLineChars="100"/>
      </w:pPr>
      <w:r>
        <w:rPr>
          <w:rFonts w:hint="eastAsia" w:ascii="仿宋_GB2312" w:hAnsi="仿宋_GB2312" w:eastAsia="仿宋_GB2312" w:cs="仿宋_GB2312"/>
          <w:color w:val="000000"/>
          <w:sz w:val="32"/>
          <w:szCs w:val="32"/>
          <w:lang w:val="zh-CN"/>
        </w:rPr>
        <w:t>抄送：永州市生态环境保护综合行政执法支队，</w:t>
      </w:r>
      <w:r>
        <w:rPr>
          <w:rFonts w:hint="eastAsia" w:ascii="仿宋_GB2312" w:hAnsi="仿宋_GB2312" w:eastAsia="仿宋_GB2312" w:cs="仿宋_GB2312"/>
          <w:bCs/>
          <w:color w:val="000000"/>
          <w:sz w:val="32"/>
          <w:szCs w:val="32"/>
          <w:lang w:eastAsia="zh-CN"/>
        </w:rPr>
        <w:t>宁远</w:t>
      </w:r>
      <w:r>
        <w:rPr>
          <w:rFonts w:hint="eastAsia" w:ascii="仿宋_GB2312" w:hAnsi="仿宋_GB2312" w:eastAsia="仿宋_GB2312" w:cs="仿宋_GB2312"/>
          <w:bCs/>
          <w:color w:val="000000"/>
          <w:sz w:val="32"/>
          <w:szCs w:val="32"/>
        </w:rPr>
        <w:t>产业开发区管理委员会</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color w:val="000000"/>
          <w:sz w:val="32"/>
          <w:szCs w:val="32"/>
          <w:lang w:val="zh-CN"/>
        </w:rPr>
        <w:t>永州市生态环境局</w:t>
      </w:r>
      <w:r>
        <w:rPr>
          <w:rFonts w:hint="eastAsia" w:ascii="仿宋_GB2312" w:hAnsi="仿宋_GB2312" w:eastAsia="仿宋_GB2312" w:cs="仿宋_GB2312"/>
          <w:bCs/>
          <w:color w:val="000000"/>
          <w:sz w:val="32"/>
          <w:szCs w:val="32"/>
          <w:lang w:eastAsia="zh-CN"/>
        </w:rPr>
        <w:t>宁远</w:t>
      </w:r>
      <w:r>
        <w:rPr>
          <w:rFonts w:hint="eastAsia" w:ascii="仿宋_GB2312" w:hAnsi="仿宋_GB2312" w:eastAsia="仿宋_GB2312" w:cs="仿宋_GB2312"/>
          <w:bCs/>
          <w:color w:val="000000"/>
          <w:sz w:val="32"/>
          <w:szCs w:val="32"/>
        </w:rPr>
        <w:t>分局</w:t>
      </w:r>
      <w:r>
        <w:rPr>
          <w:rFonts w:hint="eastAsia" w:ascii="仿宋_GB2312" w:hAnsi="仿宋_GB2312" w:eastAsia="仿宋_GB2312" w:cs="仿宋_GB2312"/>
          <w:color w:val="000000"/>
          <w:sz w:val="32"/>
          <w:szCs w:val="32"/>
          <w:lang w:val="zh-CN"/>
        </w:rPr>
        <w:t>，湖南方瑞节能环保咨询有限公司。</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1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2D44A81"/>
    <w:rsid w:val="210B2614"/>
    <w:rsid w:val="267506A8"/>
    <w:rsid w:val="34A67DE5"/>
    <w:rsid w:val="36E5586C"/>
    <w:rsid w:val="38906A6F"/>
    <w:rsid w:val="3AFD2569"/>
    <w:rsid w:val="3B877D7B"/>
    <w:rsid w:val="3F0D20EB"/>
    <w:rsid w:val="4013025E"/>
    <w:rsid w:val="428D254A"/>
    <w:rsid w:val="445C11A8"/>
    <w:rsid w:val="44F93EC7"/>
    <w:rsid w:val="45FF614D"/>
    <w:rsid w:val="49162368"/>
    <w:rsid w:val="4F375C04"/>
    <w:rsid w:val="5FE05470"/>
    <w:rsid w:val="632A3595"/>
    <w:rsid w:val="6A983B18"/>
    <w:rsid w:val="7649264C"/>
    <w:rsid w:val="76E03DEC"/>
    <w:rsid w:val="76FFEC6A"/>
    <w:rsid w:val="7AE2097E"/>
    <w:rsid w:val="BEE6ED81"/>
    <w:rsid w:val="BF6D124E"/>
    <w:rsid w:val="BFCE35C3"/>
    <w:rsid w:val="FFCEDFA4"/>
    <w:rsid w:val="FFFFA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widowControl/>
      <w:snapToGrid w:val="0"/>
      <w:spacing w:line="360" w:lineRule="auto"/>
      <w:ind w:firstLine="1440" w:firstLineChars="200"/>
    </w:pPr>
    <w:rPr>
      <w:kern w:val="0"/>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永环书正文"/>
    <w:basedOn w:val="1"/>
    <w:qFormat/>
    <w:uiPriority w:val="0"/>
    <w:pPr>
      <w:spacing w:before="62" w:beforeLines="20" w:after="62" w:afterLines="20" w:line="360" w:lineRule="auto"/>
      <w:ind w:firstLine="20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2886</Words>
  <Characters>3154</Characters>
  <Lines>0</Lines>
  <Paragraphs>0</Paragraphs>
  <TotalTime>4</TotalTime>
  <ScaleCrop>false</ScaleCrop>
  <LinksUpToDate>false</LinksUpToDate>
  <CharactersWithSpaces>3174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2026-01-24T00:59:00Z</dcterms:created>
  <dc:creator>tanny</dc:creator>
  <cp:lastModifiedBy>kylin</cp:lastModifiedBy>
  <cp:lastPrinted>2026-02-27T14:56:29Z</cp:lastPrinted>
  <dcterms:modified xsi:type="dcterms:W3CDTF">2026-02-27T14:58:24Z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1F70CFD4984F4C2A9DADDD44D708153E_13</vt:lpwstr>
  </property>
  <property fmtid="{D5CDD505-2E9C-101B-9397-08002B2CF9AE}" pid="4" name="KSOTemplateDocerSaveRecord">
    <vt:lpwstr>eyJoZGlkIjoiNzZhNmYzMjk3YzQzYzI1NDg1ODljN2RkMzhjYzcxYWEiLCJ1c2VySWQiOiIyNTYyNjk3NzQifQ==</vt:lpwstr>
  </property>
</Properties>
</file>